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37A" w:rsidRPr="000A7F98" w:rsidRDefault="000A7F98" w:rsidP="0026237A">
      <w:pPr>
        <w:jc w:val="both"/>
        <w:rPr>
          <w:b/>
          <w:sz w:val="36"/>
          <w:szCs w:val="36"/>
        </w:rPr>
      </w:pPr>
      <w:r>
        <w:rPr>
          <w:b/>
          <w:sz w:val="36"/>
          <w:szCs w:val="36"/>
        </w:rPr>
        <w:t>Civilização e Cordialidade</w:t>
      </w:r>
    </w:p>
    <w:p w:rsidR="000A7F98" w:rsidRPr="000A7F98" w:rsidRDefault="0026237A" w:rsidP="0026237A">
      <w:pPr>
        <w:jc w:val="both"/>
        <w:rPr>
          <w:b/>
          <w:i/>
          <w:sz w:val="28"/>
          <w:szCs w:val="28"/>
        </w:rPr>
      </w:pPr>
      <w:r w:rsidRPr="000A7F98">
        <w:rPr>
          <w:b/>
          <w:i/>
          <w:sz w:val="28"/>
          <w:szCs w:val="28"/>
        </w:rPr>
        <w:t>Norbert Elias e Gilberto Freyre: Diálogos sobre um processo.</w:t>
      </w:r>
    </w:p>
    <w:p w:rsidR="00F96D94" w:rsidRDefault="0026237A" w:rsidP="00F96D94">
      <w:pPr>
        <w:spacing w:after="0" w:line="240" w:lineRule="auto"/>
        <w:jc w:val="right"/>
        <w:rPr>
          <w:b/>
          <w:sz w:val="16"/>
          <w:szCs w:val="16"/>
        </w:rPr>
      </w:pPr>
      <w:r w:rsidRPr="000A7F98">
        <w:rPr>
          <w:b/>
          <w:sz w:val="16"/>
          <w:szCs w:val="16"/>
        </w:rPr>
        <w:t xml:space="preserve">Dr. Luiz Carlos Ribeiro </w:t>
      </w:r>
    </w:p>
    <w:p w:rsidR="00F96D94" w:rsidRDefault="0026237A" w:rsidP="00F96D94">
      <w:pPr>
        <w:spacing w:after="0" w:line="240" w:lineRule="auto"/>
        <w:jc w:val="right"/>
        <w:rPr>
          <w:b/>
          <w:sz w:val="16"/>
          <w:szCs w:val="16"/>
        </w:rPr>
      </w:pPr>
      <w:r w:rsidRPr="000A7F98">
        <w:rPr>
          <w:b/>
          <w:sz w:val="16"/>
          <w:szCs w:val="16"/>
        </w:rPr>
        <w:t xml:space="preserve">Departamento de História </w:t>
      </w:r>
    </w:p>
    <w:p w:rsidR="000A7F98" w:rsidRPr="000A7F98" w:rsidRDefault="0026237A" w:rsidP="00F96D94">
      <w:pPr>
        <w:spacing w:after="0" w:line="240" w:lineRule="auto"/>
        <w:jc w:val="right"/>
        <w:rPr>
          <w:b/>
          <w:sz w:val="16"/>
          <w:szCs w:val="16"/>
        </w:rPr>
      </w:pPr>
      <w:r w:rsidRPr="000A7F98">
        <w:rPr>
          <w:b/>
          <w:sz w:val="16"/>
          <w:szCs w:val="16"/>
        </w:rPr>
        <w:t>Universidade Federal do Paraná</w:t>
      </w:r>
    </w:p>
    <w:p w:rsidR="00F96D94" w:rsidRDefault="00F96D94" w:rsidP="0026237A">
      <w:pPr>
        <w:jc w:val="both"/>
        <w:rPr>
          <w:b/>
        </w:rPr>
      </w:pPr>
    </w:p>
    <w:p w:rsidR="000A7F98" w:rsidRPr="00E20E6C" w:rsidRDefault="0026237A" w:rsidP="0026237A">
      <w:pPr>
        <w:jc w:val="both"/>
        <w:rPr>
          <w:b/>
        </w:rPr>
      </w:pPr>
      <w:r w:rsidRPr="00E20E6C">
        <w:rPr>
          <w:b/>
        </w:rPr>
        <w:t xml:space="preserve"> Introdução</w:t>
      </w:r>
    </w:p>
    <w:p w:rsidR="00E20E6C" w:rsidRDefault="0026237A" w:rsidP="00E20E6C">
      <w:pPr>
        <w:spacing w:after="0" w:line="360" w:lineRule="auto"/>
        <w:ind w:firstLine="709"/>
        <w:jc w:val="both"/>
      </w:pPr>
      <w:r>
        <w:t xml:space="preserve">O objetivo da presente artigo é o de ensaiar um diálogo entre o pensamento de Norbert Elias (1897- 1990) e de Gilberto Freyre (1900-1987), em especial o produzido nos anos 30/40. As informações de que dispomos não nos autoriza a falar de influências diretas, até porque a obra de Elias, apesar de escrita no início dos anos trinta, somente a partir do final dos anos sessenta começou a ser divulgada, ainda que de forma restrita. De qualquer modo, a forma como ambos buscaram traçar teorias explicativas do processo histórico, nos permite pensá-los, senão por interferências diretas, com certeza porque tocados por um ambiente intelectual e político com muitos pontos em comum. </w:t>
      </w:r>
    </w:p>
    <w:p w:rsidR="00E20E6C" w:rsidRDefault="0026237A" w:rsidP="00E20E6C">
      <w:pPr>
        <w:spacing w:after="0" w:line="360" w:lineRule="auto"/>
        <w:ind w:firstLine="709"/>
        <w:jc w:val="both"/>
      </w:pPr>
      <w:r>
        <w:t>A ruptura com a estanque estratificação dos conhecimentos no início do século XX, impulsionada pelo desenvolvimento de novas disciplinas como a antropologia, a ling</w:t>
      </w:r>
      <w:r w:rsidR="000A7F98">
        <w:t>u</w:t>
      </w:r>
      <w:r>
        <w:t>ística e a psicologia, possibilitou a esses autores construir esquemas explicadores do processo social a partir da análise dos comportamentos. Enqu</w:t>
      </w:r>
      <w:r w:rsidR="000A7F98">
        <w:t>anto Elias o faz da ótica europe</w:t>
      </w:r>
      <w:r>
        <w:t xml:space="preserve">ia ocidental, Freyre se obriga a fazê-lo desde o ponto de vista de uma sociedade periférica (Brasil) e sub-periférica, o Nordeste. Tanto quanto o resultado, o método de estudo empregado por Elias e Freyre estimula esse ensaio. </w:t>
      </w:r>
    </w:p>
    <w:p w:rsidR="00E20E6C" w:rsidRDefault="00E20E6C" w:rsidP="00E20E6C">
      <w:pPr>
        <w:spacing w:after="0" w:line="360" w:lineRule="auto"/>
        <w:ind w:firstLine="709"/>
        <w:jc w:val="both"/>
      </w:pPr>
    </w:p>
    <w:p w:rsidR="00E20E6C" w:rsidRPr="00E20E6C" w:rsidRDefault="0026237A" w:rsidP="00E20E6C">
      <w:pPr>
        <w:spacing w:after="0" w:line="360" w:lineRule="auto"/>
        <w:ind w:firstLine="709"/>
        <w:jc w:val="both"/>
        <w:rPr>
          <w:b/>
        </w:rPr>
      </w:pPr>
      <w:r w:rsidRPr="00E20E6C">
        <w:rPr>
          <w:b/>
        </w:rPr>
        <w:t xml:space="preserve">O ambiente intelectual e político </w:t>
      </w:r>
    </w:p>
    <w:p w:rsidR="00E20E6C" w:rsidRDefault="0026237A" w:rsidP="00E20E6C">
      <w:pPr>
        <w:spacing w:after="0" w:line="360" w:lineRule="auto"/>
        <w:ind w:firstLine="709"/>
        <w:jc w:val="both"/>
      </w:pPr>
      <w:r>
        <w:t xml:space="preserve">Não é possível compreender o projeto criador de Elias e Freyre se não considerarmos as suas trajetórias intelectuais e políticas. Do mesmo modo, essas trajetórias se apresentam de tal maneira enredadas em processos heterogêneos e longos, que seria temerário de nossa parte pretender dar conta da sua complexidade. </w:t>
      </w:r>
    </w:p>
    <w:p w:rsidR="00E20E6C" w:rsidRDefault="0026237A" w:rsidP="00E20E6C">
      <w:pPr>
        <w:spacing w:after="0" w:line="360" w:lineRule="auto"/>
        <w:ind w:firstLine="709"/>
        <w:jc w:val="both"/>
      </w:pPr>
      <w:r>
        <w:t xml:space="preserve">Ainda mais, se a compreensão de uma obra não se restringe aos textos e ao pensamento do autor e às condições e influências sociais da sua produção, é preciso considerar que a nossa “leitura” contemporânea certamente não está isenta de riscos. </w:t>
      </w:r>
    </w:p>
    <w:p w:rsidR="00E20E6C" w:rsidRDefault="0026237A" w:rsidP="00E20E6C">
      <w:pPr>
        <w:spacing w:after="0" w:line="360" w:lineRule="auto"/>
        <w:ind w:firstLine="709"/>
        <w:jc w:val="both"/>
      </w:pPr>
      <w:r>
        <w:t xml:space="preserve">A preocupação tanto de Elias quanto de Freyre com a análise do cotidiano e do comportamento, a partir de temas bastante inusitados para sociologia dos anos trinta, tais </w:t>
      </w:r>
      <w:r>
        <w:lastRenderedPageBreak/>
        <w:t xml:space="preserve">como a etiqueta e a psicologia dos indivíduos e dos grupos, tem um campo intelectual desenvolvido – seja na Europa, seja nos EUA –, apesar de que restrito e de vanguarda. </w:t>
      </w:r>
    </w:p>
    <w:p w:rsidR="00E20E6C" w:rsidRDefault="0026237A" w:rsidP="00E20E6C">
      <w:pPr>
        <w:spacing w:after="0" w:line="360" w:lineRule="auto"/>
        <w:ind w:firstLine="709"/>
        <w:jc w:val="both"/>
      </w:pPr>
      <w:r>
        <w:t xml:space="preserve">O fato é que desde o final do século XIX vinha se processando uma era de incertezas, tanto políticas, intelectuais como artísticas. O capitalismo monopolista havia imposto ao mundo uma rápida modernização, de acelerado desenvolvimento industrial e tecnológico, de urbanização e secularização, com a presença significativa de formas de vida social de massa. Essas mudanças começaram a ruir as certezas tradicionais, fazendo evaporar a confiança vitoriana no progresso da humanidade e na própria solidez e visibilidade do real. </w:t>
      </w:r>
      <w:r w:rsidR="006F73F1">
        <w:t>Trouxe em si, “aquela tendência, tão patente no final do século XIX, de o conhecimento tornar-se pluralista e ambíguo, as certezas aparentes não serem mais levadas a sério, a experiência ultrapassar o controle ordenado da mente”.</w:t>
      </w:r>
      <w:r w:rsidR="006F73F1" w:rsidRPr="0026237A">
        <w:rPr>
          <w:b/>
          <w:vertAlign w:val="superscript"/>
        </w:rPr>
        <w:t>1</w:t>
      </w:r>
      <w:r w:rsidR="006F73F1">
        <w:t xml:space="preserve">  Em artigo datado de 1938, o crítico de arte Alfred Durnus, ao analisar as vanguardas artísticas nas primeiras décadas do século XX, afirmava: </w:t>
      </w:r>
    </w:p>
    <w:p w:rsidR="00255F2B" w:rsidRDefault="0026237A" w:rsidP="00E20E6C">
      <w:pPr>
        <w:spacing w:after="0" w:line="360" w:lineRule="auto"/>
        <w:ind w:firstLine="709"/>
        <w:jc w:val="both"/>
      </w:pPr>
      <w:r>
        <w:t>A crise econômica e espiritual do capitalismo monopolista, que adquiria formas cada vez mais agudas, manifestou-se na arte como “crise da realidade”, como afastamento crescente entre as artes e a realidade sensível. O expressionismo de pré-guerra e o cubismo de pré-guerra não tinham cortado ainda totalmente o cordão umbilical com a realidade; prepararam apenas a “crise de realidade” da arte. No expressionismo e no cubismo de pós-guerra “aperfeiçoou-se”, contudo, a desobjetivação do mundo.</w:t>
      </w:r>
      <w:r w:rsidRPr="00255F2B">
        <w:rPr>
          <w:b/>
          <w:vertAlign w:val="superscript"/>
        </w:rPr>
        <w:t>2</w:t>
      </w:r>
    </w:p>
    <w:p w:rsidR="00E20E6C" w:rsidRDefault="0026237A" w:rsidP="00E20E6C">
      <w:pPr>
        <w:spacing w:after="0" w:line="360" w:lineRule="auto"/>
        <w:ind w:firstLine="709"/>
        <w:jc w:val="both"/>
      </w:pPr>
      <w:r>
        <w:t xml:space="preserve"> </w:t>
      </w:r>
      <w:r w:rsidRPr="00E20E6C">
        <w:rPr>
          <w:i/>
        </w:rPr>
        <w:t>Crise da realidade e desobjetivação do mundo</w:t>
      </w:r>
      <w:r>
        <w:t>. Duas expressões que sintetizam as inquietações presentes não apenas nas manifestações artísticas de vanguarda, mas também no campo das ciências, introduzidas, por exemplo, tanto pelos Princípios gerais da relatividade (1915) de Einstein quanto pelos estudos psicanalíticos de Freud. No campo das humanidades, as obras do sociólogo francês Émile Durkheim (1858-1917) e de Max Weber (1864-1920) lançavam as bases de uma sociologia moderna que colocava em xeque as certezas racionalistas, tanto do positivismo quanto do marxismo. No campo político, a Grande Guerra (1914-1919) e os regimes totalitários eram a expressão da necessidade de revisão da concepção vitoriana de progresso. J. M. Keynes, em artigo exemplar de 1919, vaticinava que o ardil da poupança e do progresso havia malogrado.</w:t>
      </w:r>
      <w:r w:rsidRPr="00E20E6C">
        <w:rPr>
          <w:b/>
          <w:vertAlign w:val="superscript"/>
        </w:rPr>
        <w:t>3</w:t>
      </w:r>
      <w:r>
        <w:t xml:space="preserve"> </w:t>
      </w:r>
    </w:p>
    <w:p w:rsidR="00E20E6C" w:rsidRDefault="0026237A" w:rsidP="00E20E6C">
      <w:pPr>
        <w:spacing w:after="0" w:line="360" w:lineRule="auto"/>
        <w:ind w:firstLine="709"/>
        <w:jc w:val="both"/>
      </w:pPr>
      <w:r>
        <w:t>No Brasil, a modernização forçada imposta pela expansão do mercado monopolista, ao mesmo tempo em que destruía o regime escravocrata e monarquista, introduzia um verniz liberal republicano, assentado na velha estrutura latifundiária, oligárquica e de tradição escravis</w:t>
      </w:r>
      <w:r w:rsidR="00DC77AA">
        <w:t xml:space="preserve">ta. </w:t>
      </w:r>
      <w:r w:rsidR="006F73F1">
        <w:t xml:space="preserve">Essa ambiguidade é expressa no movimento modernista de 1922 que, parodiando as vanguardas europeias, manifestava um estranhamento às normas ainda vigentes, talvez embalado pelo fracasso político da economia cafeeira, e lançava manifestos de ruptura., como o próprio Mário de Andrade definiu, já em 1943: </w:t>
      </w:r>
    </w:p>
    <w:p w:rsidR="00E20E6C" w:rsidRDefault="0026237A" w:rsidP="00FA5548">
      <w:pPr>
        <w:spacing w:after="0" w:line="360" w:lineRule="auto"/>
        <w:ind w:left="1701"/>
        <w:jc w:val="both"/>
      </w:pPr>
      <w:r>
        <w:lastRenderedPageBreak/>
        <w:t>Embora se integrassem nele figuras e grupos preocupados em construir, o espírito modernista que avassalou o Brasil, que deu o sentido histórico da inteligência nacional desse período, foi destruidor. Mas esta destruição, não apenas continha todos os germes da atualidade, como era uma convulsão profundíssima da realidade brasileira.</w:t>
      </w:r>
      <w:r w:rsidRPr="00E20E6C">
        <w:rPr>
          <w:b/>
          <w:vertAlign w:val="superscript"/>
        </w:rPr>
        <w:t>4</w:t>
      </w:r>
      <w:r>
        <w:t xml:space="preserve"> </w:t>
      </w:r>
    </w:p>
    <w:p w:rsidR="00E20E6C" w:rsidRDefault="0026237A" w:rsidP="00E20E6C">
      <w:pPr>
        <w:spacing w:after="0" w:line="360" w:lineRule="auto"/>
        <w:ind w:firstLine="709"/>
        <w:jc w:val="both"/>
      </w:pPr>
      <w:r>
        <w:t xml:space="preserve">Por conta desse clima de rupturas, o espírito que predominava entre as elites dirigentes e os intelectuais, era o de reordenamento e de reestruturação, o que demandava toda uma reflexão sobre. É nesse ambiente que Elias e Freyre estruturam seus discursos. </w:t>
      </w:r>
      <w:r w:rsidR="00DC77AA">
        <w:t>Elias sobre uma sociedade europe</w:t>
      </w:r>
      <w:r>
        <w:t>ia abalada pela guerra, pela crise do pensamento liberal e pela ameaça dos regimes totalitários. Freyre, também nesse campo de inquietação, mas dialogando contra as maneirices da modernidade brasileira, fazendo apologia a tradição, sobretudo a do Nordeste.</w:t>
      </w:r>
    </w:p>
    <w:p w:rsidR="00DC77AA" w:rsidRDefault="0026237A" w:rsidP="00E20E6C">
      <w:pPr>
        <w:spacing w:after="0" w:line="360" w:lineRule="auto"/>
        <w:ind w:firstLine="709"/>
        <w:jc w:val="both"/>
      </w:pPr>
      <w:r>
        <w:t xml:space="preserve"> As leituras no campo da história que Roger Chartier</w:t>
      </w:r>
      <w:r w:rsidRPr="00E20E6C">
        <w:rPr>
          <w:b/>
          <w:vertAlign w:val="superscript"/>
        </w:rPr>
        <w:t>5</w:t>
      </w:r>
      <w:r>
        <w:t xml:space="preserve"> e Peter Burke</w:t>
      </w:r>
      <w:r w:rsidRPr="00E20E6C">
        <w:rPr>
          <w:b/>
          <w:vertAlign w:val="superscript"/>
        </w:rPr>
        <w:t>6</w:t>
      </w:r>
      <w:r>
        <w:t xml:space="preserve"> , respectivamente, fazem das obras de Elias e Freyre, nos autorizam a afirmar o quanto esses dois autores encontravam-se envolvidos num ambiente intelectual muito próximo, apesar de não terem tido uma convivência. Por exemplo, em função de trajetórias diferenciadas de vida e de divulgação de suas obras, Freyre foi recebido pela academia de historiadores franceses mais precocemente que Elias. Casa Grande &amp; Senzala, de 1933, recebeu uma primeira edição em Nova York, em 1947 (</w:t>
      </w:r>
      <w:r w:rsidRPr="006F73F1">
        <w:rPr>
          <w:i/>
        </w:rPr>
        <w:t>The masters and the slaves</w:t>
      </w:r>
      <w:r>
        <w:t>) e em Paris em 1952 (</w:t>
      </w:r>
      <w:r w:rsidRPr="006F73F1">
        <w:rPr>
          <w:i/>
        </w:rPr>
        <w:t>Maîtres et escalves</w:t>
      </w:r>
      <w:r>
        <w:t xml:space="preserve">), com tradução de Roger Bastide e prefaciada por um dos papas da escola dos </w:t>
      </w:r>
      <w:r w:rsidRPr="006F73F1">
        <w:rPr>
          <w:i/>
        </w:rPr>
        <w:t>Annales</w:t>
      </w:r>
      <w:r>
        <w:t xml:space="preserve">, Lucien Febvre. Elias, por sua vez, apesar de ter sido recepcionado em Paris através de uma sucinta resenha de Raymond Aron em 1941, apenas em 1973-1975 obteve a publicação dos dois volumes do </w:t>
      </w:r>
      <w:r w:rsidRPr="006F73F1">
        <w:rPr>
          <w:i/>
        </w:rPr>
        <w:t>Procés de Civilisation</w:t>
      </w:r>
      <w:r>
        <w:t xml:space="preserve">. </w:t>
      </w:r>
      <w:r w:rsidRPr="00DC77AA">
        <w:rPr>
          <w:b/>
          <w:vertAlign w:val="superscript"/>
        </w:rPr>
        <w:t>7</w:t>
      </w:r>
    </w:p>
    <w:p w:rsidR="00DC77AA" w:rsidRDefault="00DC77AA" w:rsidP="00E20E6C">
      <w:pPr>
        <w:spacing w:after="0" w:line="360" w:lineRule="auto"/>
        <w:ind w:firstLine="709"/>
        <w:jc w:val="both"/>
      </w:pPr>
    </w:p>
    <w:p w:rsidR="00E407CA" w:rsidRDefault="0026237A" w:rsidP="00E20E6C">
      <w:pPr>
        <w:spacing w:after="0" w:line="360" w:lineRule="auto"/>
        <w:ind w:firstLine="709"/>
        <w:jc w:val="both"/>
        <w:rPr>
          <w:b/>
        </w:rPr>
      </w:pPr>
      <w:r w:rsidRPr="00DC77AA">
        <w:rPr>
          <w:b/>
        </w:rPr>
        <w:t>Instituições imaginárias em Elias e Freyre</w:t>
      </w:r>
    </w:p>
    <w:p w:rsidR="00FA5548" w:rsidRDefault="00F83B63" w:rsidP="00E20E6C">
      <w:pPr>
        <w:spacing w:after="0" w:line="360" w:lineRule="auto"/>
        <w:ind w:firstLine="709"/>
        <w:jc w:val="both"/>
      </w:pPr>
      <w:r>
        <w:t>Garrigou nos lembra que a produção intelectual de Elias esteve longe de ajustar-se às etapas de sua vida, pois suas obras não foram publicadas na medida em que eram pensadas.</w:t>
      </w:r>
      <w:r w:rsidRPr="00FA5548">
        <w:rPr>
          <w:b/>
          <w:vertAlign w:val="superscript"/>
        </w:rPr>
        <w:t>8</w:t>
      </w:r>
      <w:r>
        <w:t xml:space="preserve"> Na comparação que fazemos aqui com a produção intelectual de Freyre essa observação é importante pois, como afirma o crítico francês, “a acolhida [da obra] é indissociável das condições de uma criação à qual está ligada por fios sutis e tênues”.</w:t>
      </w:r>
      <w:r w:rsidRPr="00FA5548">
        <w:rPr>
          <w:b/>
          <w:vertAlign w:val="superscript"/>
        </w:rPr>
        <w:t>9</w:t>
      </w:r>
      <w:r>
        <w:t xml:space="preserve"> O fato de Elias, pela sua situação de vida e de publicidade de suas obras, ter sido de uma certa forma preservado de certos constrangimentos, não nos dispensa de observarmos a sua insistência no que denominou de distanciamento e autodistanciamento.</w:t>
      </w:r>
      <w:r w:rsidRPr="00FA5548">
        <w:rPr>
          <w:b/>
          <w:vertAlign w:val="superscript"/>
        </w:rPr>
        <w:t>10</w:t>
      </w:r>
      <w:r>
        <w:t xml:space="preserve"> </w:t>
      </w:r>
    </w:p>
    <w:p w:rsidR="00FA5548" w:rsidRDefault="00F83B63" w:rsidP="00E20E6C">
      <w:pPr>
        <w:spacing w:after="0" w:line="360" w:lineRule="auto"/>
        <w:ind w:firstLine="709"/>
        <w:jc w:val="both"/>
      </w:pPr>
      <w:r>
        <w:t xml:space="preserve">A partir dessas categorias, Elias faz ao mesmo tempo a defesa do distanciamento do cientista diante do seu objeto, como o seu distanciamento às disputas partidárias e ideológicas </w:t>
      </w:r>
      <w:r>
        <w:lastRenderedPageBreak/>
        <w:t xml:space="preserve">de sua época. Referindo-se às gerações de intelectuais com a qual dialogou (Sombart, Marx, Weber, Durkheim e Mannheim), afirma o autor em suas “notas biográficas”: </w:t>
      </w:r>
    </w:p>
    <w:p w:rsidR="00FA5548" w:rsidRDefault="00F83B63" w:rsidP="00FA5548">
      <w:pPr>
        <w:spacing w:after="0" w:line="360" w:lineRule="auto"/>
        <w:ind w:left="1701"/>
        <w:jc w:val="both"/>
      </w:pPr>
      <w:r>
        <w:t>O fato de eu ter chegado tarde demais nesse cenário trouxe-me certos inconvenientes mas também certas vantagens. Foi mais fácil eu enxergar a que ponto os modelos de processos sociais de longa duração estavam saturados de ideologia. Faltavam estudos que permitissem compreender as mutações da sociedade num longo lapso de tempo com a ajuda de provas empíricas detalhadas, e isso de maneira que fosse possível substit</w:t>
      </w:r>
      <w:r w:rsidR="00FA5548">
        <w:t>uir os modelos existentes, frequ</w:t>
      </w:r>
      <w:r>
        <w:t xml:space="preserve">entemente muito especulativos, por um outro tipo de modelos teóricos, isto é, modelos verificáveis empiricamente e, caso necessário, emendáveis ou refutáveis. Mas isso só era claramente possível se o autor do estudo não estivesse ligado de maneira doutrinária a axiomas preestabelecidos ou a essa ou aquela ideologia contrária presente no leque político de sua época. (...) </w:t>
      </w:r>
    </w:p>
    <w:p w:rsidR="00FA5548" w:rsidRDefault="00F83B63" w:rsidP="00FA5548">
      <w:pPr>
        <w:spacing w:after="0" w:line="360" w:lineRule="auto"/>
        <w:ind w:left="1701"/>
        <w:jc w:val="both"/>
      </w:pPr>
      <w:r>
        <w:t>Eis portanto o que me interessava. Tentei contribuir para pôr em marcha esse empreendimento destinado a desvencilhar as teorias sociológicas das ideologias, o que se revelou mais difícil do que se imaginava.</w:t>
      </w:r>
      <w:r w:rsidRPr="00FA5548">
        <w:rPr>
          <w:b/>
          <w:vertAlign w:val="superscript"/>
        </w:rPr>
        <w:t>11</w:t>
      </w:r>
      <w:r>
        <w:t xml:space="preserve"> </w:t>
      </w:r>
    </w:p>
    <w:p w:rsidR="00FA5548" w:rsidRDefault="00F83B63" w:rsidP="00E20E6C">
      <w:pPr>
        <w:spacing w:after="0" w:line="360" w:lineRule="auto"/>
        <w:ind w:firstLine="709"/>
        <w:jc w:val="both"/>
      </w:pPr>
      <w:r>
        <w:t>Nunca é demais lembrar o quanto a sociologia alemã, com a qual dial</w:t>
      </w:r>
      <w:r w:rsidR="00FA5548">
        <w:t>ogava Elias, já debatia a ambigu</w:t>
      </w:r>
      <w:r>
        <w:t>idade vivida pelo intelectual, dividido entre a pura dedicação ao seu objeto de estudo e a necessidade de se posicionar com relação aos problemas de seu tempo. Max Weber procurava definir a postura do intelectual, no sentido de um esforço critico e a tensão entre compreensão e autonomia de juízo, apesar de reconhecer a dificuldade em conciliar essas oposições. Já para Karl Mannheim, essa posição intermediária do intelectual era a “garantia sociológica de imparcialidade e de capacidade de esquivar-se do condicionamento histórico e existencial do pensamento”. Este seria um indivíduo “livre de compromissos”.</w:t>
      </w:r>
      <w:r w:rsidRPr="00FA5548">
        <w:rPr>
          <w:b/>
          <w:vertAlign w:val="superscript"/>
        </w:rPr>
        <w:t>12</w:t>
      </w:r>
    </w:p>
    <w:p w:rsidR="00FA5548" w:rsidRDefault="00F83B63" w:rsidP="00E20E6C">
      <w:pPr>
        <w:spacing w:after="0" w:line="360" w:lineRule="auto"/>
        <w:ind w:firstLine="709"/>
        <w:jc w:val="both"/>
      </w:pPr>
      <w:r>
        <w:t xml:space="preserve"> Desse modo, a atuação do intelectual, como uma via intermediária e autônoma, não deixava de se inscrever no campo da utopia e atribuía a si mesmo, assim como a burguesia iluminista, um papel demiúrgico de direção política. </w:t>
      </w:r>
    </w:p>
    <w:p w:rsidR="00D30642" w:rsidRDefault="00F83B63" w:rsidP="00E20E6C">
      <w:pPr>
        <w:spacing w:after="0" w:line="360" w:lineRule="auto"/>
        <w:ind w:firstLine="709"/>
        <w:jc w:val="both"/>
      </w:pPr>
      <w:r>
        <w:t xml:space="preserve">O sentido do distanciamento proposto por Elias, na configuração que elabora sobre o processo civilizacional, não se distancia desse quadro de pensamento. Do mesmo modo, mesmo sabendo-se um </w:t>
      </w:r>
      <w:r w:rsidRPr="00F96D94">
        <w:rPr>
          <w:i/>
        </w:rPr>
        <w:t>outsider</w:t>
      </w:r>
      <w:r>
        <w:t xml:space="preserve"> – pela sua condição de judeu-alemão refugiado – Elias deixa bem claro que, envolver-se na luta contra o nazismo era uma ilusão simplória, diante da violência física que o regime dispunha. Em sua “entrevista biográfica”, realizada em 1984, afirma: “Eu não tinha a ilusão de poder fazer grande coisa (...) Não sou um homem político. Não conseguem entender que eu considerava ilusórias muitas</w:t>
      </w:r>
      <w:r>
        <w:t xml:space="preserve"> </w:t>
      </w:r>
      <w:r>
        <w:t xml:space="preserve">dessas coisas? Eu não partilhava </w:t>
      </w:r>
      <w:r>
        <w:lastRenderedPageBreak/>
        <w:t xml:space="preserve">dessas ilusões“. Questionado sobre como conseguiu manter-se distante das coisas, Elias respondeu: “Mas eu não estava distante das coisas! Eu fazia o melhor possível”. </w:t>
      </w:r>
      <w:r w:rsidRPr="00D30642">
        <w:rPr>
          <w:b/>
          <w:vertAlign w:val="superscript"/>
        </w:rPr>
        <w:t>13</w:t>
      </w:r>
      <w:r>
        <w:t xml:space="preserve"> </w:t>
      </w:r>
    </w:p>
    <w:p w:rsidR="00D30642" w:rsidRDefault="00F83B63" w:rsidP="00E20E6C">
      <w:pPr>
        <w:spacing w:after="0" w:line="360" w:lineRule="auto"/>
        <w:ind w:firstLine="709"/>
        <w:jc w:val="both"/>
      </w:pPr>
      <w:r>
        <w:t xml:space="preserve">Esse </w:t>
      </w:r>
      <w:r w:rsidR="006F73F1">
        <w:t>auto distanciamento</w:t>
      </w:r>
      <w:r>
        <w:t xml:space="preserve"> pode ser explicado pelas palavras do próprio Elias: “É uma experiência singular pertencer a um grupo minoritário estigmatizado e, ao mesmo tempo, sentir-se completamente inserido na corrente cultural e no destino político e social da maioria que o estigmatizava”.</w:t>
      </w:r>
      <w:r w:rsidRPr="00D30642">
        <w:rPr>
          <w:b/>
          <w:vertAlign w:val="superscript"/>
        </w:rPr>
        <w:t>14</w:t>
      </w:r>
      <w:r>
        <w:t xml:space="preserve"> Da sua condição de excluído, Elias produziu um frio modelo sociológico: </w:t>
      </w:r>
    </w:p>
    <w:p w:rsidR="00D30642" w:rsidRDefault="00F83B63" w:rsidP="00D30642">
      <w:pPr>
        <w:spacing w:after="0" w:line="360" w:lineRule="auto"/>
        <w:ind w:left="1701"/>
        <w:jc w:val="both"/>
      </w:pPr>
      <w:r>
        <w:t xml:space="preserve">É bastante provável que as experiências por que passei como judeu, na Alemanha, desde minha primeira infância, tenham contribuído para reforçar a atração que senti mais tarde pela sociologia. (...) </w:t>
      </w:r>
    </w:p>
    <w:p w:rsidR="00D30642" w:rsidRDefault="00F83B63" w:rsidP="00D30642">
      <w:pPr>
        <w:spacing w:after="0" w:line="360" w:lineRule="auto"/>
        <w:ind w:left="1701"/>
        <w:jc w:val="both"/>
      </w:pPr>
      <w:r>
        <w:t xml:space="preserve">Mais tarde incluí muitos aspectos dessas experiências em uma teoria sociológica, a teoria entre grupos estabelecidos e grupos outsiders. </w:t>
      </w:r>
      <w:r w:rsidR="006F73F1">
        <w:t>O problema dos judeus alemães era</w:t>
      </w:r>
      <w:r w:rsidR="006F73F1">
        <w:t xml:space="preserve"> efetivamente de relações entre grupos estabelecidos e grupos </w:t>
      </w:r>
      <w:r w:rsidR="006F73F1" w:rsidRPr="00146731">
        <w:rPr>
          <w:i/>
        </w:rPr>
        <w:t>outsiders</w:t>
      </w:r>
      <w:r w:rsidR="006F73F1">
        <w:t>.</w:t>
      </w:r>
      <w:r w:rsidR="006F73F1" w:rsidRPr="00D30642">
        <w:rPr>
          <w:b/>
          <w:vertAlign w:val="superscript"/>
        </w:rPr>
        <w:t>15</w:t>
      </w:r>
      <w:r w:rsidR="006F73F1">
        <w:t xml:space="preserve"> </w:t>
      </w:r>
    </w:p>
    <w:p w:rsidR="00D30642" w:rsidRDefault="00F83B63" w:rsidP="00E20E6C">
      <w:pPr>
        <w:spacing w:after="0" w:line="360" w:lineRule="auto"/>
        <w:ind w:firstLine="709"/>
        <w:jc w:val="both"/>
      </w:pPr>
      <w:r>
        <w:t>Essas revelações, mesmo correndo o risco de que eu as esteja tomando de maneira descontextualizada, revelam o quanto Elias exercitou efetivamente o não envolvimento político, em busca de teorias que não estivessem saturadas de ideologia. De qualquer modo, afirma Elias, as teorias “que me empenhei em elaborar não são marxistas, liberais, socialistas ou conservadoras”.</w:t>
      </w:r>
      <w:r w:rsidRPr="00D30642">
        <w:rPr>
          <w:b/>
          <w:vertAlign w:val="superscript"/>
        </w:rPr>
        <w:t xml:space="preserve">16 </w:t>
      </w:r>
    </w:p>
    <w:p w:rsidR="00D30642" w:rsidRDefault="00F83B63" w:rsidP="00E20E6C">
      <w:pPr>
        <w:spacing w:after="0" w:line="360" w:lineRule="auto"/>
        <w:ind w:firstLine="709"/>
        <w:jc w:val="both"/>
      </w:pPr>
      <w:r>
        <w:t>O que Elias desejava era estabelecer leis, mas que não se tornassem Teorias teleológicas, que tanto criticou na história e na sociologia. “Tentei desenvolver uma teoria sociológica do poder”, afirma, que não se inscrevesse no “leque dos partidos e dos ideais sociais da época”.</w:t>
      </w:r>
      <w:r w:rsidRPr="00D30642">
        <w:rPr>
          <w:b/>
          <w:vertAlign w:val="superscript"/>
        </w:rPr>
        <w:t>17</w:t>
      </w:r>
      <w:r>
        <w:t xml:space="preserve"> </w:t>
      </w:r>
    </w:p>
    <w:p w:rsidR="00D30642" w:rsidRDefault="00F83B63" w:rsidP="00E20E6C">
      <w:pPr>
        <w:spacing w:after="0" w:line="360" w:lineRule="auto"/>
        <w:ind w:firstLine="709"/>
        <w:jc w:val="both"/>
      </w:pPr>
      <w:r>
        <w:t xml:space="preserve">Elias não tinha, do mesmo modo, uma visão ingênua e linear do processo civilizador, como por diversas vezes teve de esclarecer, apesar de seu sentimento de que nunca era ouvido. Desenvolveu, nesse sentido, o conceito de descivilização. Porém, o sentido dado ao conceito era para tentar explicar certos descaminhos (o nazismo, por exemplo) de um processo civilizacional específico. </w:t>
      </w:r>
    </w:p>
    <w:p w:rsidR="00D30642" w:rsidRDefault="00F83B63" w:rsidP="00E20E6C">
      <w:pPr>
        <w:spacing w:after="0" w:line="360" w:lineRule="auto"/>
        <w:ind w:firstLine="709"/>
        <w:jc w:val="both"/>
      </w:pPr>
      <w:r>
        <w:t>Civilização e descivilização são conceitos complementares, não necessariamente opostos, mas são pensados fundamentalmente a partir de um determinado processo, configurado na formação do Estado moderno e no monopólio da violência enquanto uma experiência europ</w:t>
      </w:r>
      <w:r w:rsidR="00D30642">
        <w:t>e</w:t>
      </w:r>
      <w:r>
        <w:t xml:space="preserve">ia ocidental. Aliás, o próprio conceito de ocidente é, nesse sentido, excludente. </w:t>
      </w:r>
    </w:p>
    <w:p w:rsidR="00D30642" w:rsidRDefault="00F83B63" w:rsidP="00E20E6C">
      <w:pPr>
        <w:spacing w:after="0" w:line="360" w:lineRule="auto"/>
        <w:ind w:firstLine="709"/>
        <w:jc w:val="both"/>
      </w:pPr>
      <w:r>
        <w:t xml:space="preserve">Assim, ao se referir às “vísceras que jorram das entranhas, o sangue que respinga”, resultado de sua estadia em Gana, na África, Elias é obrigado a reconhecer que o processo </w:t>
      </w:r>
      <w:r>
        <w:lastRenderedPageBreak/>
        <w:t>civilizador é fundamentalmente uma experiência específica. O ritual religioso do sacrifício de bois e principalmente o conhecimento que teve da arte africana, deram-lhe a dimensão de como a percepção do inconsciente não necessita necessariamente passar pela evolução da psicanálise, como acontece</w:t>
      </w:r>
      <w:r w:rsidR="00D30642">
        <w:t>u com a arte de vanguarda europe</w:t>
      </w:r>
      <w:r>
        <w:t xml:space="preserve">ia. Essa foi uma situação da cultura ocidental que necessitou, entre outros conhecimentos, do desenvolvimento da psicanálise para a percepção do inconsciente e do outro, como por exemplo, o reconhecimento (nunca admitido pelas vanguardas artísticas) da capacidade da arte africana em manifestar as percepções do inconsciente. </w:t>
      </w:r>
    </w:p>
    <w:p w:rsidR="00D30642" w:rsidRDefault="00F83B63" w:rsidP="00E20E6C">
      <w:pPr>
        <w:spacing w:after="0" w:line="360" w:lineRule="auto"/>
        <w:ind w:firstLine="709"/>
        <w:jc w:val="both"/>
      </w:pPr>
      <w:r>
        <w:t xml:space="preserve">O que ocupou Elias em sua pesquisa empírica, enfim, foi produzir uma racionalização que desse sentido ao processo de formação do Estado moderno, que denominou de civilizado. </w:t>
      </w:r>
      <w:r w:rsidR="006F73F1">
        <w:t>Essa concepção teve como padrão, o culto a liberdade e a igualdade entre os indivíduos, o declínio dos acordos</w:t>
      </w:r>
      <w:r w:rsidR="006F73F1">
        <w:t xml:space="preserve"> </w:t>
      </w:r>
      <w:r w:rsidR="006F73F1">
        <w:t>privados na gerência do espaço público e do Estado-nação, ou seja</w:t>
      </w:r>
      <w:r w:rsidR="006F73F1">
        <w:t>,</w:t>
      </w:r>
      <w:r w:rsidR="006F73F1">
        <w:t xml:space="preserve"> a capacidade </w:t>
      </w:r>
      <w:r w:rsidR="006F73F1">
        <w:t>auto reflexiva</w:t>
      </w:r>
      <w:r w:rsidR="006F73F1">
        <w:t xml:space="preserve"> da sociedade através da emancipação dos indivíduos que a constituem.</w:t>
      </w:r>
      <w:r w:rsidR="006F73F1" w:rsidRPr="00D30642">
        <w:rPr>
          <w:b/>
          <w:vertAlign w:val="superscript"/>
        </w:rPr>
        <w:t>18</w:t>
      </w:r>
      <w:r w:rsidR="006F73F1">
        <w:t xml:space="preserve"> </w:t>
      </w:r>
    </w:p>
    <w:p w:rsidR="00D30642" w:rsidRDefault="00F83B63" w:rsidP="00E20E6C">
      <w:pPr>
        <w:spacing w:after="0" w:line="360" w:lineRule="auto"/>
        <w:ind w:firstLine="709"/>
        <w:jc w:val="both"/>
      </w:pPr>
      <w:r>
        <w:t xml:space="preserve">É essa a sociedade que Elias legitima, mesmo quando se proclama </w:t>
      </w:r>
      <w:r w:rsidR="006F73F1">
        <w:t>auto distanciado</w:t>
      </w:r>
      <w:r>
        <w:t xml:space="preserve"> de seu ambiente ideológico e social. É a sociedade onde o monopólio da violência psíquica e física não é privado, mas público, através de uma rede transparente expressa no Estado-nação. </w:t>
      </w:r>
    </w:p>
    <w:p w:rsidR="00D30642" w:rsidRDefault="00F83B63" w:rsidP="00E20E6C">
      <w:pPr>
        <w:spacing w:after="0" w:line="360" w:lineRule="auto"/>
        <w:ind w:firstLine="709"/>
        <w:jc w:val="both"/>
      </w:pPr>
      <w:r>
        <w:t xml:space="preserve">São valores que procuraram se impor como universais e de alguma forma o fizeram, mas não o suficiente para explicar diversidades como o “esforço civilizacional brasileiro” ou a cultura africana. </w:t>
      </w:r>
    </w:p>
    <w:p w:rsidR="00D30642" w:rsidRDefault="00F83B63" w:rsidP="00E20E6C">
      <w:pPr>
        <w:spacing w:after="0" w:line="360" w:lineRule="auto"/>
        <w:ind w:firstLine="709"/>
        <w:jc w:val="both"/>
      </w:pPr>
      <w:r>
        <w:t xml:space="preserve">Desse modo, é também nesse debate que se inscreve a produção imaginária de Gilberto Freyre, porém, a partir de um outro lugar social: uma sociedade periférica onde a experiência democrática e civilizacional era profundamente diversa. Nesse sentido, a sociedade específica de que tratou Gilberto Freyre não pode simplesmente ser reduzida a um processo de civilização ou descivilização. Esta é uma oposição simples que não dá conta da diversidade existente fora do mundo moderno e civilizado europeu. </w:t>
      </w:r>
    </w:p>
    <w:p w:rsidR="00D30642" w:rsidRDefault="00F83B63" w:rsidP="00E20E6C">
      <w:pPr>
        <w:spacing w:after="0" w:line="360" w:lineRule="auto"/>
        <w:ind w:firstLine="709"/>
        <w:jc w:val="both"/>
      </w:pPr>
      <w:r>
        <w:t>De qualquer modo – é preciso dizer desde já – de maneira oposta a Elias, Freyre não deseja o distanciamento. Pertencente a uma tradição elitista de intelectuais brasileiros e de forte tradição positivista, Freyre reclamava para si a tarefa intransferível de pensar a unidade nacional: “Era como se tudo dependesse de mim e dos de minha geração; da nossa maneira de resolver questões seculares”.</w:t>
      </w:r>
      <w:r w:rsidRPr="00D30642">
        <w:rPr>
          <w:b/>
          <w:vertAlign w:val="superscript"/>
        </w:rPr>
        <w:t>19</w:t>
      </w:r>
      <w:r>
        <w:t xml:space="preserve"> </w:t>
      </w:r>
    </w:p>
    <w:p w:rsidR="00D30642" w:rsidRDefault="00F83B63" w:rsidP="00E20E6C">
      <w:pPr>
        <w:spacing w:after="0" w:line="360" w:lineRule="auto"/>
        <w:ind w:firstLine="709"/>
        <w:jc w:val="both"/>
      </w:pPr>
      <w:r>
        <w:t xml:space="preserve">Na verdade, a instituição do imaginário social Brasil, enquanto um discurso legitimador de poder, é uma recorrência na sociedade brasileira nos últimos dois séculos. Mas foi a partir da segunda metade do século XIX, com a economia cafeeira gerando excedentes internos, que se constituiu uma elite local com capacidade e percepção da exigência de seu papel político no </w:t>
      </w:r>
      <w:r>
        <w:lastRenderedPageBreak/>
        <w:t xml:space="preserve">gerenciamento desses excedentes, estabelecendo parcerias externas e administrando tensões setoriais, regionais e sociais internas. A tarefa era a de imaginar e inventar a legitimidade do poder que lhe cabia administrar. </w:t>
      </w:r>
    </w:p>
    <w:p w:rsidR="00D30642" w:rsidRDefault="00F83B63" w:rsidP="00E20E6C">
      <w:pPr>
        <w:spacing w:after="0" w:line="360" w:lineRule="auto"/>
        <w:ind w:firstLine="709"/>
        <w:jc w:val="both"/>
      </w:pPr>
      <w:r>
        <w:t xml:space="preserve">Como observa Martins: </w:t>
      </w:r>
    </w:p>
    <w:p w:rsidR="00A50614" w:rsidRDefault="00F83B63" w:rsidP="00A50614">
      <w:pPr>
        <w:spacing w:after="0" w:line="360" w:lineRule="auto"/>
        <w:ind w:left="1701"/>
        <w:jc w:val="both"/>
      </w:pPr>
      <w:r>
        <w:t xml:space="preserve">Por trás da produção intelectual das primeiras décadas, estava o esforço de viabilização da </w:t>
      </w:r>
      <w:r w:rsidRPr="00A50614">
        <w:rPr>
          <w:i/>
        </w:rPr>
        <w:t>modernização conservadora</w:t>
      </w:r>
      <w:r>
        <w:t xml:space="preserve"> e da criação de uma estratégia centralizadora pela qual a sociedade moderna poderia vir a se instalar sem uma ruptura perigosa com a antiga estrutura de poder herdada do sistema escravocrata. Assim, o debate cultural</w:t>
      </w:r>
      <w:r w:rsidR="00D30642">
        <w:t xml:space="preserve"> de então girava em torno da ide</w:t>
      </w:r>
      <w:r>
        <w:t xml:space="preserve">ia de criação de uma </w:t>
      </w:r>
      <w:r w:rsidRPr="00A50614">
        <w:rPr>
          <w:i/>
        </w:rPr>
        <w:t>cultura nacional brasileira</w:t>
      </w:r>
      <w:r>
        <w:t xml:space="preserve">, considerada como necessária para legitimar a instituição de um sólido </w:t>
      </w:r>
      <w:r w:rsidRPr="00A50614">
        <w:rPr>
          <w:i/>
        </w:rPr>
        <w:t>poder nacional</w:t>
      </w:r>
      <w:r>
        <w:t xml:space="preserve">. Face às ameaças de inviabilidade da ordem constitucional pelos movimentos separatistas e pelas reações oligárquicas, a sociedade civil em formação sentiu-se atraída, compreensivelmente, pelo debate sobre a modernização da sociedade e pelas possibilidades de realização da unidade da língua, dos costumes, da raça e da religião no interior do </w:t>
      </w:r>
      <w:r w:rsidRPr="00A50614">
        <w:rPr>
          <w:i/>
        </w:rPr>
        <w:t>território nacional</w:t>
      </w:r>
      <w:r>
        <w:t xml:space="preserve">. Um debate que ambicionava a construção de um tipo brasileiro, i.e., de uma personalidade essencialmente nacional que seria vista como necessária para produzir simbólica e politicamente a </w:t>
      </w:r>
      <w:r w:rsidRPr="00A50614">
        <w:rPr>
          <w:i/>
        </w:rPr>
        <w:t>sociedade nacional brasileira</w:t>
      </w:r>
      <w:r>
        <w:t xml:space="preserve">. </w:t>
      </w:r>
      <w:r w:rsidRPr="00A50614">
        <w:rPr>
          <w:b/>
          <w:vertAlign w:val="superscript"/>
        </w:rPr>
        <w:t xml:space="preserve">20 </w:t>
      </w:r>
    </w:p>
    <w:p w:rsidR="00F83B63" w:rsidRDefault="00F83B63" w:rsidP="00E20E6C">
      <w:pPr>
        <w:spacing w:after="0" w:line="360" w:lineRule="auto"/>
        <w:ind w:firstLine="709"/>
        <w:jc w:val="both"/>
      </w:pPr>
      <w:r>
        <w:t xml:space="preserve">Nesse processo, são diversos os momentos em que a construção desse imaginário se revela. </w:t>
      </w:r>
      <w:r w:rsidR="006F73F1">
        <w:t>D</w:t>
      </w:r>
      <w:r w:rsidR="006F73F1">
        <w:t xml:space="preserve">esde Capistrano de Abreu (1853-1927), passando pelos escritos de Rui Barbosa, Alberto Torres, Oliveira Viana, Euclides da Cunha, Lima Barreto, e pelos modernistas, como Paulo Prado, Graça Aranha e os Andrade (Mário e Oswald), só para ficarmos com alguns exemplos. </w:t>
      </w:r>
    </w:p>
    <w:p w:rsidR="00A50614" w:rsidRDefault="00F83B63" w:rsidP="00E20E6C">
      <w:pPr>
        <w:spacing w:after="0" w:line="360" w:lineRule="auto"/>
        <w:ind w:firstLine="709"/>
        <w:jc w:val="both"/>
      </w:pPr>
      <w:r>
        <w:t>Para uma grande parte dos críticos, a avaliação otimista que Freyre faz da miscigenação representou um alívio para as elites brasileiras, devolvendo-lhes a autoconfiança que as teorias racistas do final do século XIX haviam tirado.</w:t>
      </w:r>
      <w:r w:rsidRPr="00A50614">
        <w:rPr>
          <w:b/>
          <w:vertAlign w:val="superscript"/>
        </w:rPr>
        <w:t>21</w:t>
      </w:r>
      <w:r>
        <w:t xml:space="preserve"> </w:t>
      </w:r>
    </w:p>
    <w:p w:rsidR="00A50614" w:rsidRDefault="00F83B63" w:rsidP="00E20E6C">
      <w:pPr>
        <w:spacing w:after="0" w:line="360" w:lineRule="auto"/>
        <w:ind w:firstLine="709"/>
        <w:jc w:val="both"/>
      </w:pPr>
      <w:r>
        <w:t xml:space="preserve">No prefácio da primeira edição de Casa Grande &amp; Senzala, de 1933, Freyre expõe a matriz teórica e o plano central de sua obra. </w:t>
      </w:r>
    </w:p>
    <w:p w:rsidR="00A50614" w:rsidRDefault="00F83B63" w:rsidP="00A50614">
      <w:pPr>
        <w:spacing w:after="0" w:line="360" w:lineRule="auto"/>
        <w:ind w:left="1701"/>
        <w:jc w:val="both"/>
      </w:pPr>
      <w:r>
        <w:t xml:space="preserve">Foi o estudo de Antropologia sob a orientação do Professor Franz Boas que primeiro me revelou o negro e o mulato no seu justo valor – separados dos traços de raça os efeitos do ambiente ou da experiência cultural. Aprendi a considerar fundamental a diferença entre raça e cultura; a discriminar entre os efeitos de relações puramente genéticas e os de influências sociais, de </w:t>
      </w:r>
      <w:r>
        <w:lastRenderedPageBreak/>
        <w:t>herança cultural e de meio. Neste critério de diferenciação fundamental entre raça e cultura assenta todo o plano deste ensaio.</w:t>
      </w:r>
      <w:r w:rsidRPr="00A50614">
        <w:rPr>
          <w:b/>
          <w:vertAlign w:val="superscript"/>
        </w:rPr>
        <w:t>22</w:t>
      </w:r>
      <w:r>
        <w:t xml:space="preserve"> </w:t>
      </w:r>
    </w:p>
    <w:p w:rsidR="00A50614" w:rsidRDefault="00F83B63" w:rsidP="00E20E6C">
      <w:pPr>
        <w:spacing w:after="0" w:line="360" w:lineRule="auto"/>
        <w:ind w:firstLine="709"/>
        <w:jc w:val="both"/>
      </w:pPr>
      <w:r>
        <w:t>Apesar de alguns críticos discordarem da efetiva fidelidade de Freyre aos conceitos de Boas</w:t>
      </w:r>
      <w:r w:rsidRPr="00A50614">
        <w:rPr>
          <w:b/>
          <w:vertAlign w:val="superscript"/>
        </w:rPr>
        <w:t>23</w:t>
      </w:r>
      <w:r>
        <w:t>, é evidente o esforço do autor em desenvolver uma teoria do processo cultural brasileiro a partir de variáveis sociais e culturais. A formação patriarcal brasileira – afirma Freyre – “explica-se, tanto na suas virtudes como nos seus defeitos, menos em termos de ‘raça’ e de ‘religião’do que em termos econômicos, de experiência de cultura e de organização da família, que aqui foi a unidade colonizadora”.</w:t>
      </w:r>
      <w:r w:rsidRPr="00A50614">
        <w:rPr>
          <w:b/>
          <w:vertAlign w:val="superscript"/>
        </w:rPr>
        <w:t>24</w:t>
      </w:r>
      <w:r>
        <w:t xml:space="preserve"> </w:t>
      </w:r>
    </w:p>
    <w:p w:rsidR="00A50614" w:rsidRDefault="00F83B63" w:rsidP="00E20E6C">
      <w:pPr>
        <w:spacing w:after="0" w:line="360" w:lineRule="auto"/>
        <w:ind w:firstLine="709"/>
        <w:jc w:val="both"/>
      </w:pPr>
      <w:r>
        <w:t>De qualquer modo, como herdeiro de uma tradição elitista que buscava na miscigenação a identidade do homem e da nação brasileiros, Freyre foi um dos principais construtores do imaginário coletivo que legitimou e preservou uma modernização conservadora, fundada em um passado patriarcal e escravocrata. Como afirma Martins, “uma compreensão mais ampla da obra de Freyre exige que o seu discurso sobre raça e identidade sejam localizados no imaginário de uma ordem patrimonial</w:t>
      </w:r>
      <w:r w:rsidR="00A50614">
        <w:t>-</w:t>
      </w:r>
      <w:r>
        <w:t>oligárquica desejosa de criar novos mecanismos de regulação do poder capazes de eliminar os riscos do conflito político e social”.</w:t>
      </w:r>
      <w:r w:rsidRPr="00A50614">
        <w:rPr>
          <w:b/>
          <w:vertAlign w:val="superscript"/>
        </w:rPr>
        <w:t>25</w:t>
      </w:r>
      <w:r>
        <w:t xml:space="preserve"> </w:t>
      </w:r>
    </w:p>
    <w:p w:rsidR="00A50614" w:rsidRDefault="00F83B63" w:rsidP="00E20E6C">
      <w:pPr>
        <w:spacing w:after="0" w:line="360" w:lineRule="auto"/>
        <w:ind w:firstLine="709"/>
        <w:jc w:val="both"/>
      </w:pPr>
      <w:r>
        <w:t xml:space="preserve">Ou seja, fundamentalmente, Freyre é um homem de seu tempo, e este é ainda marcado por uma forte permanência da tradição patriarcal e escravista. </w:t>
      </w:r>
    </w:p>
    <w:p w:rsidR="00A50614" w:rsidRDefault="00F83B63" w:rsidP="00E20E6C">
      <w:pPr>
        <w:spacing w:after="0" w:line="360" w:lineRule="auto"/>
        <w:ind w:firstLine="709"/>
        <w:jc w:val="both"/>
      </w:pPr>
      <w:r>
        <w:t>Oliveira Vianna, um contemporâneo de Freyre, afirmava que a oligarquia era a ”nossa felicidade” e o que bastava era fazê-la passar da condição “de oligarquias brutas para oligarquias esclarecidas”.</w:t>
      </w:r>
      <w:r w:rsidRPr="00A50614">
        <w:rPr>
          <w:b/>
          <w:vertAlign w:val="superscript"/>
        </w:rPr>
        <w:t>26</w:t>
      </w:r>
      <w:r>
        <w:t xml:space="preserve"> </w:t>
      </w:r>
    </w:p>
    <w:p w:rsidR="00A50614" w:rsidRDefault="00F83B63" w:rsidP="00E20E6C">
      <w:pPr>
        <w:spacing w:after="0" w:line="360" w:lineRule="auto"/>
        <w:ind w:firstLine="709"/>
        <w:jc w:val="both"/>
      </w:pPr>
      <w:r>
        <w:t xml:space="preserve">Portanto, Freyre não se encontra sozinho na produção desse imaginário de preservação e legitimação do patriarcalismo brasileiro. No Manifesto Regionalista, de 1926 (ou de 1952, como contestam seus críticos), Freyre é taxativo na defesa da tradição da cozinha patriarcal, como algo positivo para a integridade nacional: </w:t>
      </w:r>
    </w:p>
    <w:p w:rsidR="00A50614" w:rsidRDefault="00F83B63" w:rsidP="00A50614">
      <w:pPr>
        <w:spacing w:after="0" w:line="360" w:lineRule="auto"/>
        <w:ind w:left="1701"/>
        <w:jc w:val="both"/>
      </w:pPr>
      <w:r>
        <w:t xml:space="preserve">Raro um Gerôncio Dias de Arruda Falcão que dirija ele próprio de sua cadeira de balanço de patriarca antigo o preparo dos quitutes mais finos para a mesa imensa da casa-grande – quase um convento – que herdou do Capitão Manuel Tomé de Jesus, lembrando à cozinheira um tempero a não ser esquecido no peixe, insistindo por um molho mais espesso no cozido ou por um arroz mais solto para acompanhar a galinha, recordando às senhoras da casa, as lições de ortodoxia culinária guardadas nos velhos livros de receitas da família. </w:t>
      </w:r>
    </w:p>
    <w:p w:rsidR="00332912" w:rsidRDefault="00F83B63" w:rsidP="00A50614">
      <w:pPr>
        <w:spacing w:after="0" w:line="360" w:lineRule="auto"/>
        <w:ind w:left="1701"/>
        <w:jc w:val="both"/>
      </w:pPr>
      <w:r>
        <w:lastRenderedPageBreak/>
        <w:t>(...) Toda essa tradição está em declínio ou, pelo menos, em crise, no Nordeste. E uma cozinha em crise significa uma civilização inteira em perigo: o perigo de descaracterizar-se.</w:t>
      </w:r>
      <w:r w:rsidRPr="00A50614">
        <w:rPr>
          <w:b/>
          <w:vertAlign w:val="superscript"/>
        </w:rPr>
        <w:t>27</w:t>
      </w:r>
    </w:p>
    <w:p w:rsidR="00A50614" w:rsidRDefault="00332912" w:rsidP="00E20E6C">
      <w:pPr>
        <w:spacing w:after="0" w:line="360" w:lineRule="auto"/>
        <w:ind w:firstLine="709"/>
        <w:jc w:val="both"/>
      </w:pPr>
      <w:r>
        <w:t xml:space="preserve">A casa grande, junto com a senzala, foi a síntese da integridade nacional: </w:t>
      </w:r>
    </w:p>
    <w:p w:rsidR="00A50614" w:rsidRDefault="00332912" w:rsidP="00A50614">
      <w:pPr>
        <w:spacing w:after="0" w:line="360" w:lineRule="auto"/>
        <w:ind w:left="1701"/>
        <w:jc w:val="both"/>
      </w:pPr>
      <w:r>
        <w:t>A verdade é que em torno dos senhores de engenho criou-se o tipo de civilização mais estável na América hispânica. (...) O estilo das casas-grandes pode ser de empréstimo; sua arquitetura, porém, foi honesta e autêntica. Brasileirinha da silva. Teve alma. Foi expressão sincera das necessidades, dos interesses, do largo ritmo de vida patriarcal que os proventos do açúcar e o trabalho eficiente dois negros tornaram possível.</w:t>
      </w:r>
      <w:r w:rsidRPr="00A50614">
        <w:rPr>
          <w:b/>
          <w:vertAlign w:val="superscript"/>
        </w:rPr>
        <w:t>28</w:t>
      </w:r>
      <w:r>
        <w:t xml:space="preserve"> </w:t>
      </w:r>
    </w:p>
    <w:p w:rsidR="00A50614" w:rsidRDefault="00332912" w:rsidP="00E20E6C">
      <w:pPr>
        <w:spacing w:after="0" w:line="360" w:lineRule="auto"/>
        <w:ind w:firstLine="709"/>
        <w:jc w:val="both"/>
      </w:pPr>
      <w:r>
        <w:t xml:space="preserve">E se há alguma dúvida sobre o papel da miscigenação do ideal de democracia racial de Freyre, vejamos esse trecho do Prefácio da primeira edição de </w:t>
      </w:r>
      <w:r w:rsidRPr="00A50614">
        <w:rPr>
          <w:i/>
        </w:rPr>
        <w:t>Casa Grade &amp; Senzala</w:t>
      </w:r>
      <w:r>
        <w:t xml:space="preserve">: </w:t>
      </w:r>
    </w:p>
    <w:p w:rsidR="00A50614" w:rsidRDefault="00332912" w:rsidP="00A50614">
      <w:pPr>
        <w:spacing w:after="0" w:line="360" w:lineRule="auto"/>
        <w:ind w:left="1701"/>
        <w:jc w:val="both"/>
      </w:pPr>
      <w:r>
        <w:t xml:space="preserve">A miscigenação que largamente se praticou aqui corrigiu a distância social que doutro modo se teria conservado enorme entre a casa-grande e a mata tropical; entre a casa-grande e a senzala. O que a monocultura latifundiária e escravocrata realizou no sentido de aristocratização, extremando a sociedade brasileira em senhores e escravos, com uma rala e insignificante lambujem de gente livre sanduichada entre os extremos antagonistas, foi em grande parte contrariado pelos efeitos da miscigenação. A índia e a negra-mina a princípio, depois mulata, a cabrocha, a quadrarona, a oitavona, tornando-se caseiras, concubinas e até esposas legítimas dos senhores brancos, agiram poderosamente no sentido de democratização social no Brasil. Entre os filhos mestiços, legítimos e mesmo ilegítimos, havidos delas pelos senhores brancos, </w:t>
      </w:r>
      <w:r w:rsidR="006F73F1">
        <w:t>subdividiu</w:t>
      </w:r>
      <w:r>
        <w:t>-se parte considerável das grandes propriedades, quebrando-se assim a força das sesmarias feudais e dos latifúndios do tamanho de reinos.</w:t>
      </w:r>
      <w:r w:rsidRPr="00A50614">
        <w:rPr>
          <w:i/>
          <w:vertAlign w:val="superscript"/>
        </w:rPr>
        <w:t>29</w:t>
      </w:r>
      <w:r>
        <w:t xml:space="preserve"> </w:t>
      </w:r>
    </w:p>
    <w:p w:rsidR="00A50614" w:rsidRDefault="00332912" w:rsidP="00E20E6C">
      <w:pPr>
        <w:spacing w:after="0" w:line="360" w:lineRule="auto"/>
        <w:ind w:firstLine="709"/>
        <w:jc w:val="both"/>
      </w:pPr>
      <w:r>
        <w:t xml:space="preserve">A miscigenação, ao produzir hábitus sexuais e alimentares, aproximou portugueses, índios e negros, suavizando as contradições sociais existentes. A afirmação da força institucionalizadora de um imaginário coletivo no Brasil, desde o discurso de Freyre, é atestada em pronunciamento do sociólogo Fernando Henrique Cardoso: </w:t>
      </w:r>
    </w:p>
    <w:p w:rsidR="00A50614" w:rsidRDefault="00332912" w:rsidP="00E20E6C">
      <w:pPr>
        <w:spacing w:after="0" w:line="360" w:lineRule="auto"/>
        <w:ind w:firstLine="709"/>
        <w:jc w:val="both"/>
      </w:pPr>
      <w:r>
        <w:t xml:space="preserve">Gilberto Freyre viria desacreditar de vez o determinismo biológico, a presunção de que seríamos um povo inferior. </w:t>
      </w:r>
      <w:r w:rsidRPr="00A50614">
        <w:rPr>
          <w:i/>
        </w:rPr>
        <w:t>Casa Grande e Senzala</w:t>
      </w:r>
      <w:r>
        <w:t xml:space="preserve"> nos fez assumir com orgulho a condição de mestiço, vista não mais sob o prisma exclusivo da raça, mas pela ótica da cultura, como ensinava Franz Boas. Mestiçagem significava aptidão em conjugar diferenças, em plasmar costumes e valores. Isto nos teria credenciado a construir uma civilização híbrida, e por isso </w:t>
      </w:r>
      <w:r>
        <w:lastRenderedPageBreak/>
        <w:t>mesmo viável, nos trópicos. Igualmente plásticos haviam sido os portugueses, enaltecia Freyre, que não tinha dúvidas sobre o êxito da gesta colonizadora. (...) Sim, saúdo Gilberto Freyre pelas intuições sobre nossa plasticidade cultural, a despeito do véu lançado sobre os conflitos de classe.</w:t>
      </w:r>
      <w:r w:rsidRPr="00A50614">
        <w:rPr>
          <w:b/>
          <w:vertAlign w:val="superscript"/>
        </w:rPr>
        <w:t>30</w:t>
      </w:r>
      <w:r>
        <w:t xml:space="preserve"> </w:t>
      </w:r>
    </w:p>
    <w:p w:rsidR="00A50614" w:rsidRPr="00A50614" w:rsidRDefault="00332912" w:rsidP="00E20E6C">
      <w:pPr>
        <w:spacing w:after="0" w:line="360" w:lineRule="auto"/>
        <w:ind w:firstLine="709"/>
        <w:jc w:val="both"/>
        <w:rPr>
          <w:b/>
        </w:rPr>
      </w:pPr>
      <w:r w:rsidRPr="00A50614">
        <w:rPr>
          <w:b/>
        </w:rPr>
        <w:t xml:space="preserve">Conclusão </w:t>
      </w:r>
    </w:p>
    <w:p w:rsidR="006F73F1" w:rsidRDefault="00332912" w:rsidP="00E20E6C">
      <w:pPr>
        <w:spacing w:after="0" w:line="360" w:lineRule="auto"/>
        <w:ind w:firstLine="709"/>
        <w:jc w:val="both"/>
      </w:pPr>
      <w:r>
        <w:t xml:space="preserve">Desse modo, as instituições imaginárias de Elias e Freyre encontram-se no mesmo campo da longa duração, tanto quanto ao ambiente intelectual que os informa, como ao imaginário social que desejam instituir. Porém, foram produzidas a partir de estruturas sociais diversas. </w:t>
      </w:r>
    </w:p>
    <w:p w:rsidR="006F73F1" w:rsidRDefault="00332912" w:rsidP="00E20E6C">
      <w:pPr>
        <w:spacing w:after="0" w:line="360" w:lineRule="auto"/>
        <w:ind w:firstLine="709"/>
        <w:jc w:val="both"/>
      </w:pPr>
      <w:r>
        <w:t xml:space="preserve">Apesar das posturas opostas quanto ao distanciamento que deveriam guardar com relação ao ambiente social e ideológico, ambos não fogem da estratégia humana da produção de discursos pelos quais efetuam representações coletivas instituidoras de um devir, fundamentalmente, o do processo civilizador. </w:t>
      </w:r>
    </w:p>
    <w:p w:rsidR="00F83B63" w:rsidRPr="00DC77AA" w:rsidRDefault="00332912" w:rsidP="00E20E6C">
      <w:pPr>
        <w:spacing w:after="0" w:line="360" w:lineRule="auto"/>
        <w:ind w:firstLine="709"/>
        <w:jc w:val="both"/>
        <w:rPr>
          <w:b/>
        </w:rPr>
      </w:pPr>
      <w:r>
        <w:t>Por vieses diferentes, instituem imaginários coletivos de legitimidade de poder. Elias sobre a sociedade civilizada de padrão ocidental e desenvolvido, em que a não-linearidade e a descivilização parecem não serem suficientemente compreendidas, por mais que ele eleve o tom de sua voz. Freyre, ao contrário, assumidamente faz de seu discurso um instrumento de engajamento social. Enquanto o</w:t>
      </w:r>
      <w:r>
        <w:t xml:space="preserve"> </w:t>
      </w:r>
      <w:r>
        <w:t>primeiro faz um esforço intelectual e político de distanciamento, o segundo faz o esforço do engajamento. Não são apenas respostas diferenciadas diante de situações estruturais diferenciadas. São também posturas pessoais diferentes e socialmente comprometidas com seus lugares de produção.</w:t>
      </w:r>
      <w:r w:rsidR="00F83B63">
        <w:t xml:space="preserve"> </w:t>
      </w:r>
    </w:p>
    <w:p w:rsidR="0026237A" w:rsidRDefault="0026237A" w:rsidP="0026237A">
      <w:pPr>
        <w:jc w:val="both"/>
      </w:pPr>
    </w:p>
    <w:p w:rsidR="0026237A" w:rsidRDefault="0026237A" w:rsidP="0026237A">
      <w:pPr>
        <w:jc w:val="both"/>
      </w:pPr>
      <w:bookmarkStart w:id="0" w:name="_GoBack"/>
    </w:p>
    <w:bookmarkEnd w:id="0"/>
    <w:p w:rsidR="0026237A" w:rsidRDefault="00F96D94" w:rsidP="0026237A">
      <w:pPr>
        <w:jc w:val="both"/>
      </w:pPr>
      <w:r>
        <w:t>______________________________</w:t>
      </w:r>
    </w:p>
    <w:p w:rsidR="0026237A" w:rsidRPr="00F96D94" w:rsidRDefault="0026237A" w:rsidP="0030182D">
      <w:pPr>
        <w:spacing w:after="0" w:line="240" w:lineRule="auto"/>
        <w:jc w:val="both"/>
        <w:rPr>
          <w:b/>
          <w:sz w:val="14"/>
          <w:szCs w:val="14"/>
        </w:rPr>
      </w:pPr>
      <w:proofErr w:type="gramStart"/>
      <w:r w:rsidRPr="00F96D94">
        <w:rPr>
          <w:b/>
          <w:sz w:val="14"/>
          <w:szCs w:val="14"/>
        </w:rPr>
        <w:t>1</w:t>
      </w:r>
      <w:proofErr w:type="gramEnd"/>
      <w:r w:rsidRPr="00F96D94">
        <w:rPr>
          <w:b/>
          <w:sz w:val="14"/>
          <w:szCs w:val="14"/>
        </w:rPr>
        <w:t xml:space="preserve"> BRADBURY, Malcolm ; </w:t>
      </w:r>
      <w:proofErr w:type="spellStart"/>
      <w:r w:rsidRPr="00F96D94">
        <w:rPr>
          <w:b/>
          <w:sz w:val="14"/>
          <w:szCs w:val="14"/>
        </w:rPr>
        <w:t>McFARLANE</w:t>
      </w:r>
      <w:proofErr w:type="spellEnd"/>
      <w:r w:rsidRPr="00F96D94">
        <w:rPr>
          <w:b/>
          <w:sz w:val="14"/>
          <w:szCs w:val="14"/>
        </w:rPr>
        <w:t xml:space="preserve">, James. Modernismo. Guia geral (1890-1930). São Paulo: Companhia das Letras, 1989, p. </w:t>
      </w:r>
      <w:proofErr w:type="gramStart"/>
      <w:r w:rsidRPr="00F96D94">
        <w:rPr>
          <w:b/>
          <w:sz w:val="14"/>
          <w:szCs w:val="14"/>
        </w:rPr>
        <w:t>43</w:t>
      </w:r>
      <w:proofErr w:type="gramEnd"/>
    </w:p>
    <w:p w:rsidR="00F83B63" w:rsidRPr="00F96D94" w:rsidRDefault="000A7F98" w:rsidP="0030182D">
      <w:pPr>
        <w:spacing w:after="0" w:line="240" w:lineRule="auto"/>
        <w:jc w:val="both"/>
        <w:rPr>
          <w:b/>
          <w:sz w:val="14"/>
          <w:szCs w:val="14"/>
        </w:rPr>
      </w:pPr>
      <w:proofErr w:type="gramStart"/>
      <w:r w:rsidRPr="00F96D94">
        <w:rPr>
          <w:b/>
          <w:sz w:val="14"/>
          <w:szCs w:val="14"/>
        </w:rPr>
        <w:t>2</w:t>
      </w:r>
      <w:proofErr w:type="gramEnd"/>
      <w:r w:rsidRPr="00F96D94">
        <w:rPr>
          <w:b/>
          <w:sz w:val="14"/>
          <w:szCs w:val="14"/>
        </w:rPr>
        <w:t xml:space="preserve"> In: </w:t>
      </w:r>
      <w:proofErr w:type="spellStart"/>
      <w:r w:rsidRPr="00F96D94">
        <w:rPr>
          <w:b/>
          <w:sz w:val="14"/>
          <w:szCs w:val="14"/>
        </w:rPr>
        <w:t>Expressionismus</w:t>
      </w:r>
      <w:proofErr w:type="spellEnd"/>
      <w:r w:rsidRPr="00F96D94">
        <w:rPr>
          <w:b/>
          <w:sz w:val="14"/>
          <w:szCs w:val="14"/>
        </w:rPr>
        <w:t xml:space="preserve"> modernismo. </w:t>
      </w:r>
      <w:proofErr w:type="gramStart"/>
      <w:r w:rsidRPr="00F96D94">
        <w:rPr>
          <w:b/>
          <w:sz w:val="14"/>
          <w:szCs w:val="14"/>
        </w:rPr>
        <w:t>s/l</w:t>
      </w:r>
      <w:proofErr w:type="gramEnd"/>
      <w:r w:rsidRPr="00F96D94">
        <w:rPr>
          <w:b/>
          <w:sz w:val="14"/>
          <w:szCs w:val="14"/>
        </w:rPr>
        <w:t>: Goethe-</w:t>
      </w:r>
      <w:proofErr w:type="spellStart"/>
      <w:r w:rsidRPr="00F96D94">
        <w:rPr>
          <w:b/>
          <w:sz w:val="14"/>
          <w:szCs w:val="14"/>
        </w:rPr>
        <w:t>Institut</w:t>
      </w:r>
      <w:proofErr w:type="spellEnd"/>
      <w:r w:rsidRPr="00F96D94">
        <w:rPr>
          <w:b/>
          <w:sz w:val="14"/>
          <w:szCs w:val="14"/>
        </w:rPr>
        <w:t xml:space="preserve"> no Brasil, 1983, p. 8/6. </w:t>
      </w:r>
    </w:p>
    <w:p w:rsidR="00F83B63" w:rsidRPr="00F96D94" w:rsidRDefault="000A7F98" w:rsidP="0030182D">
      <w:pPr>
        <w:spacing w:after="0" w:line="240" w:lineRule="auto"/>
        <w:jc w:val="both"/>
        <w:rPr>
          <w:b/>
          <w:sz w:val="14"/>
          <w:szCs w:val="14"/>
        </w:rPr>
      </w:pPr>
      <w:proofErr w:type="gramStart"/>
      <w:r w:rsidRPr="00F96D94">
        <w:rPr>
          <w:b/>
          <w:sz w:val="14"/>
          <w:szCs w:val="14"/>
        </w:rPr>
        <w:t>3</w:t>
      </w:r>
      <w:proofErr w:type="gramEnd"/>
      <w:r w:rsidRPr="00F96D94">
        <w:rPr>
          <w:b/>
          <w:sz w:val="14"/>
          <w:szCs w:val="14"/>
        </w:rPr>
        <w:t xml:space="preserve"> KEYNES, J. M. A Europa antes da guerra. In: Economia. Org. da coletânea </w:t>
      </w:r>
      <w:proofErr w:type="spellStart"/>
      <w:r w:rsidRPr="00F96D94">
        <w:rPr>
          <w:b/>
          <w:sz w:val="14"/>
          <w:szCs w:val="14"/>
        </w:rPr>
        <w:t>Tamás</w:t>
      </w:r>
      <w:proofErr w:type="spellEnd"/>
      <w:r w:rsidRPr="00F96D94">
        <w:rPr>
          <w:b/>
          <w:sz w:val="14"/>
          <w:szCs w:val="14"/>
        </w:rPr>
        <w:t xml:space="preserve"> </w:t>
      </w:r>
      <w:proofErr w:type="spellStart"/>
      <w:r w:rsidRPr="00F96D94">
        <w:rPr>
          <w:b/>
          <w:sz w:val="14"/>
          <w:szCs w:val="14"/>
        </w:rPr>
        <w:t>Szmrecsányi</w:t>
      </w:r>
      <w:proofErr w:type="spellEnd"/>
      <w:r w:rsidRPr="00F96D94">
        <w:rPr>
          <w:b/>
          <w:sz w:val="14"/>
          <w:szCs w:val="14"/>
        </w:rPr>
        <w:t xml:space="preserve">. São Paulo: Ática, 1978, p.50. </w:t>
      </w:r>
    </w:p>
    <w:p w:rsidR="00F83B63" w:rsidRPr="00F96D94" w:rsidRDefault="000A7F98" w:rsidP="0030182D">
      <w:pPr>
        <w:spacing w:after="0" w:line="240" w:lineRule="auto"/>
        <w:jc w:val="both"/>
        <w:rPr>
          <w:b/>
          <w:sz w:val="14"/>
          <w:szCs w:val="14"/>
        </w:rPr>
      </w:pPr>
      <w:proofErr w:type="gramStart"/>
      <w:r w:rsidRPr="00F96D94">
        <w:rPr>
          <w:b/>
          <w:sz w:val="14"/>
          <w:szCs w:val="14"/>
        </w:rPr>
        <w:t>4</w:t>
      </w:r>
      <w:proofErr w:type="gramEnd"/>
      <w:r w:rsidRPr="00F96D94">
        <w:rPr>
          <w:b/>
          <w:sz w:val="14"/>
          <w:szCs w:val="14"/>
        </w:rPr>
        <w:t xml:space="preserve"> ANDRADE, Mário de. O movimento modernista. In: Aspectos da literatura brasileira. São Paulo: Livraria Martins Editora, 1943, p. </w:t>
      </w:r>
      <w:proofErr w:type="gramStart"/>
      <w:r w:rsidRPr="00F96D94">
        <w:rPr>
          <w:b/>
          <w:sz w:val="14"/>
          <w:szCs w:val="14"/>
        </w:rPr>
        <w:t>242</w:t>
      </w:r>
      <w:proofErr w:type="gramEnd"/>
      <w:r w:rsidRPr="00F96D94">
        <w:rPr>
          <w:b/>
          <w:sz w:val="14"/>
          <w:szCs w:val="14"/>
        </w:rPr>
        <w:t xml:space="preserve"> </w:t>
      </w:r>
    </w:p>
    <w:p w:rsidR="00F83B63" w:rsidRPr="00F96D94" w:rsidRDefault="000A7F98" w:rsidP="0030182D">
      <w:pPr>
        <w:spacing w:after="0" w:line="240" w:lineRule="auto"/>
        <w:jc w:val="both"/>
        <w:rPr>
          <w:b/>
          <w:sz w:val="14"/>
          <w:szCs w:val="14"/>
        </w:rPr>
      </w:pPr>
      <w:proofErr w:type="gramStart"/>
      <w:r w:rsidRPr="00F96D94">
        <w:rPr>
          <w:b/>
          <w:sz w:val="14"/>
          <w:szCs w:val="14"/>
        </w:rPr>
        <w:t>5</w:t>
      </w:r>
      <w:proofErr w:type="gramEnd"/>
      <w:r w:rsidRPr="00F96D94">
        <w:rPr>
          <w:b/>
          <w:sz w:val="14"/>
          <w:szCs w:val="14"/>
        </w:rPr>
        <w:t xml:space="preserve"> CHARTIER, Roger. Formação social e </w:t>
      </w:r>
      <w:proofErr w:type="spellStart"/>
      <w:r w:rsidRPr="00F96D94">
        <w:rPr>
          <w:b/>
          <w:sz w:val="14"/>
          <w:szCs w:val="14"/>
        </w:rPr>
        <w:t>habitus</w:t>
      </w:r>
      <w:proofErr w:type="spellEnd"/>
      <w:r w:rsidRPr="00F96D94">
        <w:rPr>
          <w:b/>
          <w:sz w:val="14"/>
          <w:szCs w:val="14"/>
        </w:rPr>
        <w:t xml:space="preserve">: Uma leitura de Norbert </w:t>
      </w:r>
      <w:proofErr w:type="spellStart"/>
      <w:proofErr w:type="gramStart"/>
      <w:r w:rsidRPr="00F96D94">
        <w:rPr>
          <w:b/>
          <w:sz w:val="14"/>
          <w:szCs w:val="14"/>
        </w:rPr>
        <w:t>Elias.</w:t>
      </w:r>
      <w:proofErr w:type="gramEnd"/>
      <w:r w:rsidRPr="00F96D94">
        <w:rPr>
          <w:b/>
          <w:sz w:val="14"/>
          <w:szCs w:val="14"/>
        </w:rPr>
        <w:t>In</w:t>
      </w:r>
      <w:proofErr w:type="spellEnd"/>
      <w:r w:rsidRPr="00F96D94">
        <w:rPr>
          <w:b/>
          <w:sz w:val="14"/>
          <w:szCs w:val="14"/>
        </w:rPr>
        <w:t xml:space="preserve">: A história cultural. Entre práticas e representações. Lisboa: </w:t>
      </w:r>
      <w:proofErr w:type="spellStart"/>
      <w:proofErr w:type="gramStart"/>
      <w:r w:rsidRPr="00F96D94">
        <w:rPr>
          <w:b/>
          <w:sz w:val="14"/>
          <w:szCs w:val="14"/>
        </w:rPr>
        <w:t>Difel</w:t>
      </w:r>
      <w:proofErr w:type="spellEnd"/>
      <w:r w:rsidRPr="00F96D94">
        <w:rPr>
          <w:b/>
          <w:sz w:val="14"/>
          <w:szCs w:val="14"/>
        </w:rPr>
        <w:t xml:space="preserve"> ;</w:t>
      </w:r>
      <w:proofErr w:type="gramEnd"/>
      <w:r w:rsidRPr="00F96D94">
        <w:rPr>
          <w:b/>
          <w:sz w:val="14"/>
          <w:szCs w:val="14"/>
        </w:rPr>
        <w:t xml:space="preserve"> Rio de Janeiro: Ed. Bertrand Brasil, 1990. </w:t>
      </w:r>
    </w:p>
    <w:p w:rsidR="00F83B63" w:rsidRPr="00F96D94" w:rsidRDefault="000A7F98" w:rsidP="0030182D">
      <w:pPr>
        <w:spacing w:after="0" w:line="240" w:lineRule="auto"/>
        <w:jc w:val="both"/>
        <w:rPr>
          <w:b/>
          <w:sz w:val="14"/>
          <w:szCs w:val="14"/>
        </w:rPr>
      </w:pPr>
      <w:proofErr w:type="gramStart"/>
      <w:r w:rsidRPr="00F96D94">
        <w:rPr>
          <w:b/>
          <w:sz w:val="14"/>
          <w:szCs w:val="14"/>
        </w:rPr>
        <w:t>6</w:t>
      </w:r>
      <w:proofErr w:type="gramEnd"/>
      <w:r w:rsidRPr="00F96D94">
        <w:rPr>
          <w:b/>
          <w:sz w:val="14"/>
          <w:szCs w:val="14"/>
        </w:rPr>
        <w:t xml:space="preserve"> BURKE, Peter. Gilberto Freyre e a nova história. In: Tempo Social. São Paulo, v.9, n.2, out. 1997, pp.1-12 </w:t>
      </w:r>
    </w:p>
    <w:p w:rsidR="000A7F98" w:rsidRPr="00F96D94" w:rsidRDefault="000A7F98" w:rsidP="0030182D">
      <w:pPr>
        <w:spacing w:after="0" w:line="240" w:lineRule="auto"/>
        <w:jc w:val="both"/>
        <w:rPr>
          <w:b/>
          <w:sz w:val="14"/>
          <w:szCs w:val="14"/>
        </w:rPr>
      </w:pPr>
      <w:proofErr w:type="gramStart"/>
      <w:r w:rsidRPr="00F96D94">
        <w:rPr>
          <w:b/>
          <w:sz w:val="14"/>
          <w:szCs w:val="14"/>
        </w:rPr>
        <w:t>7</w:t>
      </w:r>
      <w:proofErr w:type="gramEnd"/>
      <w:r w:rsidRPr="00F96D94">
        <w:rPr>
          <w:b/>
          <w:sz w:val="14"/>
          <w:szCs w:val="14"/>
        </w:rPr>
        <w:t xml:space="preserve"> GARRIGOU, Alain ; LACROIX, </w:t>
      </w:r>
      <w:proofErr w:type="spellStart"/>
      <w:r w:rsidRPr="00F96D94">
        <w:rPr>
          <w:b/>
          <w:sz w:val="14"/>
          <w:szCs w:val="14"/>
        </w:rPr>
        <w:t>Lacroix</w:t>
      </w:r>
      <w:proofErr w:type="spellEnd"/>
      <w:r w:rsidRPr="00F96D94">
        <w:rPr>
          <w:b/>
          <w:sz w:val="14"/>
          <w:szCs w:val="14"/>
        </w:rPr>
        <w:t>. Norbert Elias: O trabalho de uma obra. In: Norbert Elias. A política e a história. São Paulo: Perspectiva, 2001, p. XXIV.</w:t>
      </w:r>
    </w:p>
    <w:p w:rsidR="00F83B63" w:rsidRPr="00F96D94" w:rsidRDefault="00F83B63" w:rsidP="0030182D">
      <w:pPr>
        <w:spacing w:after="0" w:line="240" w:lineRule="auto"/>
        <w:jc w:val="both"/>
        <w:rPr>
          <w:b/>
          <w:sz w:val="14"/>
          <w:szCs w:val="14"/>
        </w:rPr>
      </w:pPr>
      <w:proofErr w:type="gramStart"/>
      <w:r w:rsidRPr="00F96D94">
        <w:rPr>
          <w:b/>
          <w:sz w:val="14"/>
          <w:szCs w:val="14"/>
        </w:rPr>
        <w:t>8</w:t>
      </w:r>
      <w:proofErr w:type="gramEnd"/>
      <w:r w:rsidRPr="00F96D94">
        <w:rPr>
          <w:b/>
          <w:sz w:val="14"/>
          <w:szCs w:val="14"/>
        </w:rPr>
        <w:t xml:space="preserve"> GARRIGOU, </w:t>
      </w:r>
      <w:proofErr w:type="spellStart"/>
      <w:r w:rsidRPr="00F96D94">
        <w:rPr>
          <w:b/>
          <w:sz w:val="14"/>
          <w:szCs w:val="14"/>
        </w:rPr>
        <w:t>op.cit</w:t>
      </w:r>
      <w:proofErr w:type="spellEnd"/>
      <w:r w:rsidRPr="00F96D94">
        <w:rPr>
          <w:b/>
          <w:sz w:val="14"/>
          <w:szCs w:val="14"/>
        </w:rPr>
        <w:t xml:space="preserve">. </w:t>
      </w:r>
      <w:proofErr w:type="spellStart"/>
      <w:r w:rsidRPr="00F96D94">
        <w:rPr>
          <w:b/>
          <w:sz w:val="14"/>
          <w:szCs w:val="14"/>
        </w:rPr>
        <w:t>p.XVI</w:t>
      </w:r>
      <w:proofErr w:type="spellEnd"/>
      <w:r w:rsidRPr="00F96D94">
        <w:rPr>
          <w:b/>
          <w:sz w:val="14"/>
          <w:szCs w:val="14"/>
        </w:rPr>
        <w:t xml:space="preserve">. </w:t>
      </w:r>
    </w:p>
    <w:p w:rsidR="00F83B63" w:rsidRPr="00F96D94" w:rsidRDefault="00F83B63" w:rsidP="0030182D">
      <w:pPr>
        <w:spacing w:after="0" w:line="240" w:lineRule="auto"/>
        <w:jc w:val="both"/>
        <w:rPr>
          <w:b/>
          <w:sz w:val="14"/>
          <w:szCs w:val="14"/>
        </w:rPr>
      </w:pPr>
      <w:proofErr w:type="gramStart"/>
      <w:r w:rsidRPr="00F96D94">
        <w:rPr>
          <w:b/>
          <w:sz w:val="14"/>
          <w:szCs w:val="14"/>
        </w:rPr>
        <w:t>9</w:t>
      </w:r>
      <w:proofErr w:type="gramEnd"/>
      <w:r w:rsidRPr="00F96D94">
        <w:rPr>
          <w:b/>
          <w:sz w:val="14"/>
          <w:szCs w:val="14"/>
        </w:rPr>
        <w:t xml:space="preserve"> Idem. </w:t>
      </w:r>
    </w:p>
    <w:p w:rsidR="00F83B63" w:rsidRPr="00F96D94" w:rsidRDefault="00F83B63" w:rsidP="0030182D">
      <w:pPr>
        <w:spacing w:after="0" w:line="240" w:lineRule="auto"/>
        <w:jc w:val="both"/>
        <w:rPr>
          <w:b/>
          <w:sz w:val="14"/>
          <w:szCs w:val="14"/>
        </w:rPr>
      </w:pPr>
      <w:r w:rsidRPr="00F96D94">
        <w:rPr>
          <w:b/>
          <w:sz w:val="14"/>
          <w:szCs w:val="14"/>
        </w:rPr>
        <w:t xml:space="preserve">10 ELIAS, Norbert. Norbert Elias por ele mesmo. Rio de janeiro: Jorge Zahar Ed., 2001. ____. O processo civilizacional. 2o vol. Lisboa: Publicações Dom Quixote, 1990. </w:t>
      </w:r>
    </w:p>
    <w:p w:rsidR="00F83B63" w:rsidRPr="00F96D94" w:rsidRDefault="00F83B63" w:rsidP="0030182D">
      <w:pPr>
        <w:spacing w:after="0" w:line="240" w:lineRule="auto"/>
        <w:jc w:val="both"/>
        <w:rPr>
          <w:b/>
          <w:sz w:val="14"/>
          <w:szCs w:val="14"/>
        </w:rPr>
      </w:pPr>
      <w:r w:rsidRPr="00F96D94">
        <w:rPr>
          <w:b/>
          <w:sz w:val="14"/>
          <w:szCs w:val="14"/>
        </w:rPr>
        <w:t xml:space="preserve">11 ELIAS, N. Tarde demais ou cedo demais. In: Norbert Elias por ele mesmo. Op. cit., p. 147 </w:t>
      </w:r>
    </w:p>
    <w:p w:rsidR="00F83B63" w:rsidRPr="00F96D94" w:rsidRDefault="00F83B63" w:rsidP="0030182D">
      <w:pPr>
        <w:spacing w:after="0" w:line="240" w:lineRule="auto"/>
        <w:jc w:val="both"/>
        <w:rPr>
          <w:b/>
          <w:sz w:val="14"/>
          <w:szCs w:val="14"/>
        </w:rPr>
      </w:pPr>
      <w:r w:rsidRPr="00F96D94">
        <w:rPr>
          <w:b/>
          <w:sz w:val="14"/>
          <w:szCs w:val="14"/>
        </w:rPr>
        <w:t xml:space="preserve">12 MARLETTI, Carlo. Intelectuais. In: BOBBIO, Norberto </w:t>
      </w:r>
      <w:proofErr w:type="gramStart"/>
      <w:r w:rsidRPr="00F96D94">
        <w:rPr>
          <w:b/>
          <w:sz w:val="14"/>
          <w:szCs w:val="14"/>
        </w:rPr>
        <w:t>et</w:t>
      </w:r>
      <w:proofErr w:type="gramEnd"/>
      <w:r w:rsidRPr="00F96D94">
        <w:rPr>
          <w:b/>
          <w:sz w:val="14"/>
          <w:szCs w:val="14"/>
        </w:rPr>
        <w:t xml:space="preserve"> al. (</w:t>
      </w:r>
      <w:proofErr w:type="spellStart"/>
      <w:r w:rsidRPr="00F96D94">
        <w:rPr>
          <w:b/>
          <w:sz w:val="14"/>
          <w:szCs w:val="14"/>
        </w:rPr>
        <w:t>Orgs</w:t>
      </w:r>
      <w:proofErr w:type="spellEnd"/>
      <w:r w:rsidRPr="00F96D94">
        <w:rPr>
          <w:b/>
          <w:sz w:val="14"/>
          <w:szCs w:val="14"/>
        </w:rPr>
        <w:t xml:space="preserve">) Dicionário de política. 11a ed., </w:t>
      </w:r>
      <w:proofErr w:type="spellStart"/>
      <w:r w:rsidRPr="00F96D94">
        <w:rPr>
          <w:b/>
          <w:sz w:val="14"/>
          <w:szCs w:val="14"/>
        </w:rPr>
        <w:t>Vol</w:t>
      </w:r>
      <w:proofErr w:type="spellEnd"/>
      <w:r w:rsidRPr="00F96D94">
        <w:rPr>
          <w:b/>
          <w:sz w:val="14"/>
          <w:szCs w:val="14"/>
        </w:rPr>
        <w:t xml:space="preserve"> </w:t>
      </w:r>
      <w:proofErr w:type="gramStart"/>
      <w:r w:rsidRPr="00F96D94">
        <w:rPr>
          <w:b/>
          <w:sz w:val="14"/>
          <w:szCs w:val="14"/>
        </w:rPr>
        <w:t>1</w:t>
      </w:r>
      <w:proofErr w:type="gramEnd"/>
      <w:r w:rsidRPr="00F96D94">
        <w:rPr>
          <w:b/>
          <w:sz w:val="14"/>
          <w:szCs w:val="14"/>
        </w:rPr>
        <w:t>. Bra</w:t>
      </w:r>
      <w:r w:rsidRPr="00F96D94">
        <w:rPr>
          <w:b/>
          <w:sz w:val="14"/>
          <w:szCs w:val="14"/>
        </w:rPr>
        <w:t xml:space="preserve">sília: Ed. UnB, 1998, p. 639. </w:t>
      </w:r>
    </w:p>
    <w:p w:rsidR="00F83B63" w:rsidRPr="00F96D94" w:rsidRDefault="00F83B63" w:rsidP="0030182D">
      <w:pPr>
        <w:spacing w:after="0" w:line="240" w:lineRule="auto"/>
        <w:jc w:val="both"/>
        <w:rPr>
          <w:b/>
          <w:sz w:val="14"/>
          <w:szCs w:val="14"/>
        </w:rPr>
      </w:pPr>
      <w:r w:rsidRPr="00F96D94">
        <w:rPr>
          <w:b/>
          <w:sz w:val="14"/>
          <w:szCs w:val="14"/>
        </w:rPr>
        <w:t xml:space="preserve">13 ELIAS, N. Entrevista biográfica com Norbert Elias. In: Norbert Elias por ele mesmo. Op. cit., p. 54. </w:t>
      </w:r>
    </w:p>
    <w:p w:rsidR="00F83B63" w:rsidRPr="00F96D94" w:rsidRDefault="00F83B63" w:rsidP="0030182D">
      <w:pPr>
        <w:spacing w:after="0" w:line="240" w:lineRule="auto"/>
        <w:jc w:val="both"/>
        <w:rPr>
          <w:b/>
          <w:sz w:val="14"/>
          <w:szCs w:val="14"/>
        </w:rPr>
      </w:pPr>
      <w:r w:rsidRPr="00F96D94">
        <w:rPr>
          <w:b/>
          <w:sz w:val="14"/>
          <w:szCs w:val="14"/>
        </w:rPr>
        <w:t>14 ELIAS, N. Notas sobre os judeus como participantes de uma relação estabelecidos-</w:t>
      </w:r>
      <w:proofErr w:type="spellStart"/>
      <w:r w:rsidRPr="00F96D94">
        <w:rPr>
          <w:b/>
          <w:sz w:val="14"/>
          <w:szCs w:val="14"/>
        </w:rPr>
        <w:t>outsides</w:t>
      </w:r>
      <w:proofErr w:type="spellEnd"/>
      <w:r w:rsidRPr="00F96D94">
        <w:rPr>
          <w:b/>
          <w:sz w:val="14"/>
          <w:szCs w:val="14"/>
        </w:rPr>
        <w:t xml:space="preserve">. In: Norbert Elias por ele mesmo. Op. </w:t>
      </w:r>
      <w:proofErr w:type="spellStart"/>
      <w:r w:rsidRPr="00F96D94">
        <w:rPr>
          <w:b/>
          <w:sz w:val="14"/>
          <w:szCs w:val="14"/>
        </w:rPr>
        <w:t>cit</w:t>
      </w:r>
      <w:proofErr w:type="spellEnd"/>
      <w:r w:rsidRPr="00F96D94">
        <w:rPr>
          <w:b/>
          <w:sz w:val="14"/>
          <w:szCs w:val="14"/>
        </w:rPr>
        <w:t xml:space="preserve">, p. 134. </w:t>
      </w:r>
    </w:p>
    <w:p w:rsidR="00F83B63" w:rsidRPr="00F96D94" w:rsidRDefault="00F83B63" w:rsidP="0030182D">
      <w:pPr>
        <w:spacing w:after="0" w:line="240" w:lineRule="auto"/>
        <w:jc w:val="both"/>
        <w:rPr>
          <w:b/>
          <w:sz w:val="14"/>
          <w:szCs w:val="14"/>
        </w:rPr>
      </w:pPr>
      <w:r w:rsidRPr="00F96D94">
        <w:rPr>
          <w:b/>
          <w:sz w:val="14"/>
          <w:szCs w:val="14"/>
        </w:rPr>
        <w:t xml:space="preserve">15 Idem, p. 135. </w:t>
      </w:r>
    </w:p>
    <w:p w:rsidR="00F83B63" w:rsidRPr="00F96D94" w:rsidRDefault="00F83B63" w:rsidP="0030182D">
      <w:pPr>
        <w:spacing w:after="0" w:line="240" w:lineRule="auto"/>
        <w:jc w:val="both"/>
        <w:rPr>
          <w:b/>
          <w:sz w:val="14"/>
          <w:szCs w:val="14"/>
        </w:rPr>
      </w:pPr>
      <w:r w:rsidRPr="00F96D94">
        <w:rPr>
          <w:b/>
          <w:sz w:val="14"/>
          <w:szCs w:val="14"/>
        </w:rPr>
        <w:t xml:space="preserve">16 Elias, N. Tarde demais ou cedo demais. In: Norbert </w:t>
      </w:r>
      <w:proofErr w:type="gramStart"/>
      <w:r w:rsidRPr="00F96D94">
        <w:rPr>
          <w:b/>
          <w:sz w:val="14"/>
          <w:szCs w:val="14"/>
        </w:rPr>
        <w:t>Elias …</w:t>
      </w:r>
      <w:proofErr w:type="gramEnd"/>
      <w:r w:rsidRPr="00F96D94">
        <w:rPr>
          <w:b/>
          <w:sz w:val="14"/>
          <w:szCs w:val="14"/>
        </w:rPr>
        <w:t xml:space="preserve"> Op. cir., p. 148. </w:t>
      </w:r>
    </w:p>
    <w:p w:rsidR="00F83B63" w:rsidRPr="00F96D94" w:rsidRDefault="00F83B63" w:rsidP="0030182D">
      <w:pPr>
        <w:spacing w:after="0" w:line="240" w:lineRule="auto"/>
        <w:jc w:val="both"/>
        <w:rPr>
          <w:b/>
          <w:sz w:val="14"/>
          <w:szCs w:val="14"/>
        </w:rPr>
      </w:pPr>
      <w:r w:rsidRPr="00F96D94">
        <w:rPr>
          <w:b/>
          <w:sz w:val="14"/>
          <w:szCs w:val="14"/>
        </w:rPr>
        <w:t>17 Idem, p. 147</w:t>
      </w:r>
      <w:r w:rsidRPr="00F96D94">
        <w:rPr>
          <w:b/>
          <w:sz w:val="14"/>
          <w:szCs w:val="14"/>
        </w:rPr>
        <w:t>.</w:t>
      </w:r>
    </w:p>
    <w:p w:rsidR="00F83B63" w:rsidRPr="00F96D94" w:rsidRDefault="00F83B63" w:rsidP="0030182D">
      <w:pPr>
        <w:spacing w:after="0" w:line="240" w:lineRule="auto"/>
        <w:jc w:val="both"/>
        <w:rPr>
          <w:b/>
          <w:sz w:val="14"/>
          <w:szCs w:val="14"/>
        </w:rPr>
      </w:pPr>
      <w:r w:rsidRPr="00F96D94">
        <w:rPr>
          <w:b/>
          <w:sz w:val="14"/>
          <w:szCs w:val="14"/>
        </w:rPr>
        <w:t xml:space="preserve">18 MARTINS, Paulo Henrique N. A cultura política do patriarcalismo. In: Revista de Estudos de Sociologia Online. </w:t>
      </w:r>
      <w:proofErr w:type="spellStart"/>
      <w:r w:rsidRPr="00F96D94">
        <w:rPr>
          <w:b/>
          <w:sz w:val="14"/>
          <w:szCs w:val="14"/>
        </w:rPr>
        <w:t>Vol</w:t>
      </w:r>
      <w:proofErr w:type="spellEnd"/>
      <w:r w:rsidRPr="00F96D94">
        <w:rPr>
          <w:b/>
          <w:sz w:val="14"/>
          <w:szCs w:val="14"/>
        </w:rPr>
        <w:t xml:space="preserve"> 1, 1995. UFPE – Centro de Filosofia e Ciências Sociais, Programa de Pós</w:t>
      </w:r>
      <w:r w:rsidR="00F96D94">
        <w:rPr>
          <w:b/>
          <w:sz w:val="14"/>
          <w:szCs w:val="14"/>
        </w:rPr>
        <w:t>-</w:t>
      </w:r>
      <w:r w:rsidRPr="00F96D94">
        <w:rPr>
          <w:b/>
          <w:sz w:val="14"/>
          <w:szCs w:val="14"/>
        </w:rPr>
        <w:t xml:space="preserve">Graduação em Sociologia. </w:t>
      </w:r>
      <w:hyperlink r:id="rId5" w:history="1">
        <w:r w:rsidRPr="00F96D94">
          <w:rPr>
            <w:rStyle w:val="Hyperlink"/>
            <w:b/>
            <w:color w:val="auto"/>
            <w:sz w:val="14"/>
            <w:szCs w:val="14"/>
            <w:u w:val="none"/>
          </w:rPr>
          <w:t>http://www.ufpe.br/eso/revista1/martins.html</w:t>
        </w:r>
      </w:hyperlink>
      <w:r w:rsidRPr="00F96D94">
        <w:rPr>
          <w:b/>
          <w:sz w:val="14"/>
          <w:szCs w:val="14"/>
        </w:rPr>
        <w:t xml:space="preserve">. </w:t>
      </w:r>
    </w:p>
    <w:p w:rsidR="00F83B63" w:rsidRPr="00F96D94" w:rsidRDefault="00F83B63" w:rsidP="0030182D">
      <w:pPr>
        <w:spacing w:after="0" w:line="240" w:lineRule="auto"/>
        <w:jc w:val="both"/>
        <w:rPr>
          <w:b/>
          <w:sz w:val="14"/>
          <w:szCs w:val="14"/>
        </w:rPr>
      </w:pPr>
      <w:proofErr w:type="gramStart"/>
      <w:r w:rsidRPr="00F96D94">
        <w:rPr>
          <w:b/>
          <w:sz w:val="14"/>
          <w:szCs w:val="14"/>
        </w:rPr>
        <w:lastRenderedPageBreak/>
        <w:t>19 FREYRE</w:t>
      </w:r>
      <w:proofErr w:type="gramEnd"/>
      <w:r w:rsidRPr="00F96D94">
        <w:rPr>
          <w:b/>
          <w:sz w:val="14"/>
          <w:szCs w:val="14"/>
        </w:rPr>
        <w:t xml:space="preserve">, Gilberto. Casa-Grande &amp; Senzala. Formação da família brasileira sob o regime de economia patriarcal. 1o tomo. 14a edição. Rio de Janeiro: Livraria José Olympio Editora, 1969, p. XXXI. </w:t>
      </w:r>
    </w:p>
    <w:p w:rsidR="00F83B63" w:rsidRPr="00F96D94" w:rsidRDefault="00F83B63" w:rsidP="0030182D">
      <w:pPr>
        <w:spacing w:after="0" w:line="240" w:lineRule="auto"/>
        <w:jc w:val="both"/>
        <w:rPr>
          <w:b/>
          <w:sz w:val="14"/>
          <w:szCs w:val="14"/>
        </w:rPr>
      </w:pPr>
      <w:r w:rsidRPr="00F96D94">
        <w:rPr>
          <w:b/>
          <w:sz w:val="14"/>
          <w:szCs w:val="14"/>
        </w:rPr>
        <w:t xml:space="preserve">20 MARTINS P. A cultura política... Op. </w:t>
      </w:r>
      <w:proofErr w:type="spellStart"/>
      <w:r w:rsidRPr="00F96D94">
        <w:rPr>
          <w:b/>
          <w:sz w:val="14"/>
          <w:szCs w:val="14"/>
        </w:rPr>
        <w:t>cit</w:t>
      </w:r>
      <w:proofErr w:type="spellEnd"/>
      <w:r w:rsidRPr="00F96D94">
        <w:rPr>
          <w:b/>
          <w:sz w:val="14"/>
          <w:szCs w:val="14"/>
        </w:rPr>
        <w:t xml:space="preserve">, </w:t>
      </w:r>
    </w:p>
    <w:p w:rsidR="009D10D7" w:rsidRPr="00F96D94" w:rsidRDefault="009D10D7" w:rsidP="0030182D">
      <w:pPr>
        <w:spacing w:after="0" w:line="240" w:lineRule="auto"/>
        <w:jc w:val="both"/>
        <w:rPr>
          <w:b/>
          <w:sz w:val="14"/>
          <w:szCs w:val="14"/>
        </w:rPr>
      </w:pPr>
      <w:r w:rsidRPr="00F96D94">
        <w:rPr>
          <w:b/>
          <w:sz w:val="14"/>
          <w:szCs w:val="14"/>
        </w:rPr>
        <w:t xml:space="preserve">21 REIS, José Carlos. As identidades do Brasil. Da </w:t>
      </w:r>
      <w:proofErr w:type="spellStart"/>
      <w:r w:rsidRPr="00F96D94">
        <w:rPr>
          <w:b/>
          <w:sz w:val="14"/>
          <w:szCs w:val="14"/>
        </w:rPr>
        <w:t>Varnhagen</w:t>
      </w:r>
      <w:proofErr w:type="spellEnd"/>
      <w:r w:rsidRPr="00F96D94">
        <w:rPr>
          <w:b/>
          <w:sz w:val="14"/>
          <w:szCs w:val="14"/>
        </w:rPr>
        <w:t xml:space="preserve"> a FHC. 2a ed. Rio de Janeiro: Editora FGV, 1999, p. 69. </w:t>
      </w:r>
    </w:p>
    <w:p w:rsidR="009D10D7" w:rsidRPr="00F96D94" w:rsidRDefault="009D10D7" w:rsidP="0030182D">
      <w:pPr>
        <w:spacing w:after="0" w:line="240" w:lineRule="auto"/>
        <w:jc w:val="both"/>
        <w:rPr>
          <w:b/>
          <w:sz w:val="14"/>
          <w:szCs w:val="14"/>
        </w:rPr>
      </w:pPr>
      <w:proofErr w:type="gramStart"/>
      <w:r w:rsidRPr="00F96D94">
        <w:rPr>
          <w:b/>
          <w:sz w:val="14"/>
          <w:szCs w:val="14"/>
        </w:rPr>
        <w:t>22 FREYRE</w:t>
      </w:r>
      <w:proofErr w:type="gramEnd"/>
      <w:r w:rsidRPr="00F96D94">
        <w:rPr>
          <w:b/>
          <w:sz w:val="14"/>
          <w:szCs w:val="14"/>
        </w:rPr>
        <w:t xml:space="preserve">, G. Casa-Grande... Op. cit., p. XXXI. </w:t>
      </w:r>
    </w:p>
    <w:p w:rsidR="009D10D7" w:rsidRPr="00F96D94" w:rsidRDefault="009D10D7" w:rsidP="0030182D">
      <w:pPr>
        <w:spacing w:after="0" w:line="240" w:lineRule="auto"/>
        <w:jc w:val="both"/>
        <w:rPr>
          <w:b/>
          <w:sz w:val="14"/>
          <w:szCs w:val="14"/>
        </w:rPr>
      </w:pPr>
      <w:proofErr w:type="gramStart"/>
      <w:r w:rsidRPr="00F96D94">
        <w:rPr>
          <w:b/>
          <w:sz w:val="14"/>
          <w:szCs w:val="14"/>
        </w:rPr>
        <w:t>23 LIMA</w:t>
      </w:r>
      <w:proofErr w:type="gramEnd"/>
      <w:r w:rsidRPr="00F96D94">
        <w:rPr>
          <w:b/>
          <w:sz w:val="14"/>
          <w:szCs w:val="14"/>
        </w:rPr>
        <w:t xml:space="preserve">, Luiz Costa. Elogia do congraçamento. In: Folha de </w:t>
      </w:r>
      <w:proofErr w:type="spellStart"/>
      <w:r w:rsidRPr="00F96D94">
        <w:rPr>
          <w:b/>
          <w:sz w:val="14"/>
          <w:szCs w:val="14"/>
        </w:rPr>
        <w:t>S.Paulo</w:t>
      </w:r>
      <w:proofErr w:type="spellEnd"/>
      <w:r w:rsidRPr="00F96D94">
        <w:rPr>
          <w:b/>
          <w:sz w:val="14"/>
          <w:szCs w:val="14"/>
        </w:rPr>
        <w:t>, 17.12.200, Caderno MAIS</w:t>
      </w:r>
      <w:proofErr w:type="gramStart"/>
      <w:r w:rsidRPr="00F96D94">
        <w:rPr>
          <w:b/>
          <w:sz w:val="14"/>
          <w:szCs w:val="14"/>
        </w:rPr>
        <w:t>!,</w:t>
      </w:r>
      <w:proofErr w:type="gramEnd"/>
      <w:r w:rsidRPr="00F96D94">
        <w:rPr>
          <w:b/>
          <w:sz w:val="14"/>
          <w:szCs w:val="14"/>
        </w:rPr>
        <w:t xml:space="preserve"> </w:t>
      </w:r>
      <w:proofErr w:type="gramStart"/>
      <w:r w:rsidRPr="00F96D94">
        <w:rPr>
          <w:b/>
          <w:sz w:val="14"/>
          <w:szCs w:val="14"/>
        </w:rPr>
        <w:t>pp.</w:t>
      </w:r>
      <w:proofErr w:type="gramEnd"/>
      <w:r w:rsidRPr="00F96D94">
        <w:rPr>
          <w:b/>
          <w:sz w:val="14"/>
          <w:szCs w:val="14"/>
        </w:rPr>
        <w:t xml:space="preserve"> 16-18. </w:t>
      </w:r>
    </w:p>
    <w:p w:rsidR="009D10D7" w:rsidRPr="00F96D94" w:rsidRDefault="009D10D7" w:rsidP="0030182D">
      <w:pPr>
        <w:spacing w:after="0" w:line="240" w:lineRule="auto"/>
        <w:jc w:val="both"/>
        <w:rPr>
          <w:b/>
          <w:sz w:val="14"/>
          <w:szCs w:val="14"/>
        </w:rPr>
      </w:pPr>
      <w:proofErr w:type="gramStart"/>
      <w:r w:rsidRPr="00F96D94">
        <w:rPr>
          <w:b/>
          <w:sz w:val="14"/>
          <w:szCs w:val="14"/>
        </w:rPr>
        <w:t>24 FREYRE</w:t>
      </w:r>
      <w:proofErr w:type="gramEnd"/>
      <w:r w:rsidRPr="00F96D94">
        <w:rPr>
          <w:b/>
          <w:sz w:val="14"/>
          <w:szCs w:val="14"/>
        </w:rPr>
        <w:t xml:space="preserve">, G. Casa-Grande... Op. cit., p. XXXV. </w:t>
      </w:r>
    </w:p>
    <w:p w:rsidR="009D10D7" w:rsidRPr="00F96D94" w:rsidRDefault="009D10D7" w:rsidP="0030182D">
      <w:pPr>
        <w:spacing w:after="0" w:line="240" w:lineRule="auto"/>
        <w:jc w:val="both"/>
        <w:rPr>
          <w:b/>
          <w:sz w:val="14"/>
          <w:szCs w:val="14"/>
        </w:rPr>
      </w:pPr>
      <w:r w:rsidRPr="00F96D94">
        <w:rPr>
          <w:b/>
          <w:sz w:val="14"/>
          <w:szCs w:val="14"/>
        </w:rPr>
        <w:t xml:space="preserve">25 MARTINS, P. Op. cit. </w:t>
      </w:r>
    </w:p>
    <w:p w:rsidR="009D10D7" w:rsidRPr="00F96D94" w:rsidRDefault="009D10D7" w:rsidP="0030182D">
      <w:pPr>
        <w:spacing w:after="0" w:line="240" w:lineRule="auto"/>
        <w:jc w:val="both"/>
        <w:rPr>
          <w:b/>
          <w:sz w:val="14"/>
          <w:szCs w:val="14"/>
        </w:rPr>
      </w:pPr>
      <w:r w:rsidRPr="00F96D94">
        <w:rPr>
          <w:b/>
          <w:sz w:val="14"/>
          <w:szCs w:val="14"/>
        </w:rPr>
        <w:t xml:space="preserve">26 VIANA, O. Evolução do povo brasileiro. 2a ed., São Paulo, Cia. Ed. Nacional, 1933. </w:t>
      </w:r>
      <w:proofErr w:type="gramStart"/>
      <w:r w:rsidRPr="00F96D94">
        <w:rPr>
          <w:b/>
          <w:sz w:val="14"/>
          <w:szCs w:val="14"/>
        </w:rPr>
        <w:t>pp.</w:t>
      </w:r>
      <w:proofErr w:type="gramEnd"/>
      <w:r w:rsidRPr="00F96D94">
        <w:rPr>
          <w:b/>
          <w:sz w:val="14"/>
          <w:szCs w:val="14"/>
        </w:rPr>
        <w:t xml:space="preserve">173-74. </w:t>
      </w:r>
    </w:p>
    <w:p w:rsidR="009D10D7" w:rsidRPr="00F96D94" w:rsidRDefault="009D10D7" w:rsidP="0030182D">
      <w:pPr>
        <w:spacing w:after="0" w:line="240" w:lineRule="auto"/>
        <w:jc w:val="both"/>
        <w:rPr>
          <w:b/>
          <w:sz w:val="14"/>
          <w:szCs w:val="14"/>
        </w:rPr>
      </w:pPr>
      <w:proofErr w:type="gramStart"/>
      <w:r w:rsidRPr="00F96D94">
        <w:rPr>
          <w:b/>
          <w:sz w:val="14"/>
          <w:szCs w:val="14"/>
        </w:rPr>
        <w:t>27 FREYRE</w:t>
      </w:r>
      <w:proofErr w:type="gramEnd"/>
      <w:r w:rsidRPr="00F96D94">
        <w:rPr>
          <w:b/>
          <w:sz w:val="14"/>
          <w:szCs w:val="14"/>
        </w:rPr>
        <w:t xml:space="preserve">, G. Manifesto Regionalista. 7ª ed. Recife: Fundação Joaquim </w:t>
      </w:r>
      <w:proofErr w:type="gramStart"/>
      <w:r w:rsidRPr="00F96D94">
        <w:rPr>
          <w:b/>
          <w:sz w:val="14"/>
          <w:szCs w:val="14"/>
        </w:rPr>
        <w:t>Nabuco :</w:t>
      </w:r>
      <w:proofErr w:type="gramEnd"/>
      <w:r w:rsidRPr="00F96D94">
        <w:rPr>
          <w:b/>
          <w:sz w:val="14"/>
          <w:szCs w:val="14"/>
        </w:rPr>
        <w:t xml:space="preserve"> Editora </w:t>
      </w:r>
      <w:proofErr w:type="spellStart"/>
      <w:r w:rsidRPr="00F96D94">
        <w:rPr>
          <w:b/>
          <w:sz w:val="14"/>
          <w:szCs w:val="14"/>
        </w:rPr>
        <w:t>Massangana</w:t>
      </w:r>
      <w:proofErr w:type="spellEnd"/>
      <w:r w:rsidRPr="00F96D94">
        <w:rPr>
          <w:b/>
          <w:sz w:val="14"/>
          <w:szCs w:val="14"/>
        </w:rPr>
        <w:t>, 1996</w:t>
      </w:r>
    </w:p>
    <w:p w:rsidR="00F96D94" w:rsidRDefault="00332912" w:rsidP="0030182D">
      <w:pPr>
        <w:spacing w:after="0" w:line="240" w:lineRule="auto"/>
        <w:jc w:val="both"/>
        <w:rPr>
          <w:b/>
          <w:sz w:val="14"/>
          <w:szCs w:val="14"/>
        </w:rPr>
      </w:pPr>
      <w:r w:rsidRPr="00F96D94">
        <w:rPr>
          <w:b/>
          <w:sz w:val="14"/>
          <w:szCs w:val="14"/>
        </w:rPr>
        <w:t xml:space="preserve">28 FREYRE, G. Casa </w:t>
      </w:r>
      <w:proofErr w:type="gramStart"/>
      <w:r w:rsidRPr="00F96D94">
        <w:rPr>
          <w:b/>
          <w:sz w:val="14"/>
          <w:szCs w:val="14"/>
        </w:rPr>
        <w:t>Grande ...</w:t>
      </w:r>
      <w:proofErr w:type="gramEnd"/>
      <w:r w:rsidRPr="00F96D94">
        <w:rPr>
          <w:b/>
          <w:sz w:val="14"/>
          <w:szCs w:val="14"/>
        </w:rPr>
        <w:t xml:space="preserve"> Op. cit., p. XLVI. </w:t>
      </w:r>
    </w:p>
    <w:p w:rsidR="00F96D94" w:rsidRDefault="00332912" w:rsidP="0030182D">
      <w:pPr>
        <w:spacing w:after="0" w:line="240" w:lineRule="auto"/>
        <w:jc w:val="both"/>
        <w:rPr>
          <w:b/>
          <w:sz w:val="14"/>
          <w:szCs w:val="14"/>
        </w:rPr>
      </w:pPr>
      <w:r w:rsidRPr="00F96D94">
        <w:rPr>
          <w:b/>
          <w:sz w:val="14"/>
          <w:szCs w:val="14"/>
        </w:rPr>
        <w:t xml:space="preserve">29 Idem, p. XXXIV. </w:t>
      </w:r>
    </w:p>
    <w:p w:rsidR="00332912" w:rsidRPr="00F96D94" w:rsidRDefault="00332912" w:rsidP="0030182D">
      <w:pPr>
        <w:spacing w:after="0" w:line="240" w:lineRule="auto"/>
        <w:jc w:val="both"/>
        <w:rPr>
          <w:b/>
          <w:sz w:val="14"/>
          <w:szCs w:val="14"/>
        </w:rPr>
      </w:pPr>
      <w:r w:rsidRPr="00F96D94">
        <w:rPr>
          <w:b/>
          <w:sz w:val="14"/>
          <w:szCs w:val="14"/>
        </w:rPr>
        <w:t xml:space="preserve">30 CARDOSO, Fernando Henrique. Palestra do Senhor Presidente da República Fernando Henrique Cardoso no Instituto Histórico e Geográfico Brasileiro (IHGB). In </w:t>
      </w:r>
      <w:proofErr w:type="gramStart"/>
      <w:r w:rsidRPr="00F96D94">
        <w:rPr>
          <w:b/>
          <w:sz w:val="14"/>
          <w:szCs w:val="14"/>
        </w:rPr>
        <w:t>http://www.mre.gov.br/sei/prihgb.htm ,</w:t>
      </w:r>
      <w:proofErr w:type="gramEnd"/>
      <w:r w:rsidRPr="00F96D94">
        <w:rPr>
          <w:b/>
          <w:sz w:val="14"/>
          <w:szCs w:val="14"/>
        </w:rPr>
        <w:t xml:space="preserve"> 1999. </w:t>
      </w:r>
    </w:p>
    <w:p w:rsidR="00F83B63" w:rsidRPr="00F96D94" w:rsidRDefault="00F83B63" w:rsidP="0030182D">
      <w:pPr>
        <w:spacing w:after="0" w:line="240" w:lineRule="auto"/>
        <w:jc w:val="both"/>
        <w:rPr>
          <w:b/>
          <w:sz w:val="14"/>
          <w:szCs w:val="14"/>
        </w:rPr>
      </w:pPr>
    </w:p>
    <w:sectPr w:rsidR="00F83B63" w:rsidRPr="00F96D9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37A"/>
    <w:rsid w:val="000A7F98"/>
    <w:rsid w:val="00255F2B"/>
    <w:rsid w:val="0026237A"/>
    <w:rsid w:val="0030182D"/>
    <w:rsid w:val="00332912"/>
    <w:rsid w:val="00696454"/>
    <w:rsid w:val="006F73F1"/>
    <w:rsid w:val="009D10D7"/>
    <w:rsid w:val="00A50614"/>
    <w:rsid w:val="00D30642"/>
    <w:rsid w:val="00DC0850"/>
    <w:rsid w:val="00DC77AA"/>
    <w:rsid w:val="00E20E6C"/>
    <w:rsid w:val="00F83B63"/>
    <w:rsid w:val="00F96D94"/>
    <w:rsid w:val="00FA55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83B6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83B6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ufpe.br/eso/revista1/martins.html"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4404</Words>
  <Characters>23785</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dc:creator>
  <cp:lastModifiedBy>Beth</cp:lastModifiedBy>
  <cp:revision>2</cp:revision>
  <dcterms:created xsi:type="dcterms:W3CDTF">2020-08-27T15:59:00Z</dcterms:created>
  <dcterms:modified xsi:type="dcterms:W3CDTF">2020-08-27T15:59:00Z</dcterms:modified>
</cp:coreProperties>
</file>